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C0" w:rsidRPr="000A2DC0" w:rsidRDefault="000A2DC0" w:rsidP="000A2DC0">
      <w:pPr>
        <w:spacing w:before="120" w:after="12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AO JUÍZO DA  </w:t>
      </w:r>
      <w:bookmarkStart w:id="0" w:name="_GoBack"/>
      <w:bookmarkEnd w:id="0"/>
      <w:proofErr w:type="spellStart"/>
      <w:r w:rsidR="00A149C2" w:rsidRPr="008E1D63">
        <w:rPr>
          <w:rFonts w:ascii="Arial" w:hAnsi="Arial" w:cs="Arial"/>
          <w:b/>
          <w:bCs/>
          <w:color w:val="000000"/>
          <w:sz w:val="24"/>
          <w:szCs w:val="24"/>
        </w:rPr>
        <w:t>DA</w:t>
      </w:r>
      <w:proofErr w:type="spellEnd"/>
      <w:r w:rsidR="00A149C2" w:rsidRPr="008E1D63">
        <w:rPr>
          <w:rFonts w:ascii="Arial" w:hAnsi="Arial" w:cs="Arial"/>
          <w:b/>
          <w:bCs/>
          <w:color w:val="000000"/>
          <w:sz w:val="24"/>
          <w:szCs w:val="24"/>
        </w:rPr>
        <w:t xml:space="preserve"> __ VARA CIVEL DA COMARCA DE XXXX/UF</w:t>
      </w:r>
    </w:p>
    <w:p w:rsid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22C0" w:rsidRPr="00EE000E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E000E" w:rsidRPr="00EE000E" w:rsidRDefault="00A149C2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149C2">
        <w:rPr>
          <w:rFonts w:ascii="Arial" w:hAnsi="Arial" w:cs="Arial"/>
          <w:b/>
          <w:bCs/>
          <w:color w:val="000000"/>
          <w:sz w:val="24"/>
          <w:szCs w:val="24"/>
        </w:rPr>
        <w:t>PARTE AUTORA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>,</w:t>
      </w:r>
      <w:r w:rsidR="00EE000E">
        <w:rPr>
          <w:rFonts w:ascii="Arial" w:hAnsi="Arial" w:cs="Arial"/>
          <w:bCs/>
          <w:color w:val="000000"/>
          <w:sz w:val="24"/>
          <w:szCs w:val="24"/>
        </w:rPr>
        <w:t xml:space="preserve"> inscrito no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000E">
        <w:rPr>
          <w:rFonts w:ascii="Arial" w:hAnsi="Arial" w:cs="Arial"/>
          <w:bCs/>
          <w:color w:val="000000"/>
          <w:sz w:val="24"/>
          <w:szCs w:val="24"/>
        </w:rPr>
        <w:t xml:space="preserve">CNPJ...., localizado no endereço..., neste ato representado pelo seu síndico..., 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nacionalidade, estado civil profissão,portador da cédula de Identidade nº </w:t>
      </w:r>
      <w:r w:rsidR="00EE000E">
        <w:rPr>
          <w:rFonts w:ascii="Arial" w:hAnsi="Arial" w:cs="Arial"/>
          <w:bCs/>
          <w:color w:val="000000"/>
          <w:sz w:val="24"/>
          <w:szCs w:val="24"/>
        </w:rPr>
        <w:t>...,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 inscrit</w:t>
      </w:r>
      <w:r w:rsidR="00EE000E">
        <w:rPr>
          <w:rFonts w:ascii="Arial" w:hAnsi="Arial" w:cs="Arial"/>
          <w:bCs/>
          <w:color w:val="000000"/>
          <w:sz w:val="24"/>
          <w:szCs w:val="24"/>
        </w:rPr>
        <w:t>o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 no CPF/MF sob o nº </w:t>
      </w:r>
      <w:r w:rsidR="00EE000E">
        <w:rPr>
          <w:rFonts w:ascii="Arial" w:hAnsi="Arial" w:cs="Arial"/>
          <w:bCs/>
          <w:color w:val="000000"/>
          <w:sz w:val="24"/>
          <w:szCs w:val="24"/>
        </w:rPr>
        <w:t>...,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 endereço eletrônico, residente e domiciliada na</w:t>
      </w:r>
      <w:r w:rsidR="00EE000E">
        <w:rPr>
          <w:rFonts w:ascii="Arial" w:hAnsi="Arial" w:cs="Arial"/>
          <w:bCs/>
          <w:color w:val="000000"/>
          <w:sz w:val="24"/>
          <w:szCs w:val="24"/>
        </w:rPr>
        <w:t xml:space="preserve"> ...,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por seus advogados </w:t>
      </w:r>
      <w:r w:rsidR="00EE000E" w:rsidRPr="00EE000E">
        <w:rPr>
          <w:rFonts w:ascii="Arial" w:hAnsi="Arial" w:cs="Arial"/>
          <w:bCs/>
          <w:i/>
          <w:color w:val="000000"/>
          <w:sz w:val="24"/>
          <w:szCs w:val="24"/>
        </w:rPr>
        <w:t>in fine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 assinados conforme procuração anexada, com endereço profissional (completo), </w:t>
      </w:r>
      <w:r w:rsidR="00EE000E" w:rsidRPr="00EE000E">
        <w:rPr>
          <w:rFonts w:ascii="Arial" w:hAnsi="Arial" w:cs="Arial"/>
          <w:b/>
          <w:bCs/>
          <w:color w:val="000000"/>
          <w:sz w:val="24"/>
          <w:szCs w:val="24"/>
        </w:rPr>
        <w:t>para fins do art. 106, I, do Novo Código de Processo Civil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, vem, mui respeitosamente a V.Exa., </w:t>
      </w:r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pelo procedimento comum, rito</w:t>
      </w:r>
      <w:r w:rsidR="00EE000E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ordinário</w:t>
      </w:r>
      <w:r w:rsidR="00EE000E">
        <w:rPr>
          <w:rFonts w:ascii="Arial" w:eastAsia="ArialMT" w:hAnsi="Arial" w:cs="Arial"/>
          <w:color w:val="000000"/>
          <w:sz w:val="24"/>
          <w:szCs w:val="24"/>
        </w:rPr>
        <w:t xml:space="preserve">, 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com fundamento no art. 5º, V e XXXV, da Constituição</w:t>
      </w:r>
      <w:r w:rsidR="00EE000E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Federal, combinado com o art. 6º, VI, VII e VIII e art. 12, do Código de</w:t>
      </w:r>
      <w:r w:rsidR="00EE000E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 xml:space="preserve">Defesa do Consumidor, nos </w:t>
      </w:r>
      <w:proofErr w:type="spellStart"/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arts</w:t>
      </w:r>
      <w:proofErr w:type="spellEnd"/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. 186, 249, 389, 402 a 405, 618,</w:t>
      </w:r>
      <w:r w:rsidR="00EE000E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parágrafo único, 884 a 886 e 927, todos do Código Civil e, por fim, nos</w:t>
      </w:r>
      <w:r w:rsidR="00EE000E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proofErr w:type="spellStart"/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>arts</w:t>
      </w:r>
      <w:proofErr w:type="spellEnd"/>
      <w:r w:rsidR="00EE000E" w:rsidRPr="00FF22C0">
        <w:rPr>
          <w:rFonts w:ascii="Arial" w:eastAsia="ArialMT" w:hAnsi="Arial" w:cs="Arial"/>
          <w:color w:val="000000"/>
          <w:sz w:val="24"/>
          <w:szCs w:val="24"/>
        </w:rPr>
        <w:t xml:space="preserve">. </w:t>
      </w:r>
      <w:r w:rsidR="00EE000E" w:rsidRPr="00D42EA1">
        <w:rPr>
          <w:rFonts w:ascii="Arial" w:eastAsia="ArialMT" w:hAnsi="Arial" w:cs="Arial"/>
          <w:b/>
          <w:color w:val="000000"/>
          <w:sz w:val="24"/>
          <w:szCs w:val="24"/>
        </w:rPr>
        <w:t xml:space="preserve">319 e seguintes e 294 combinado com o 300, todos do </w:t>
      </w:r>
      <w:r w:rsidR="00D42EA1">
        <w:rPr>
          <w:rFonts w:ascii="Arial" w:eastAsia="ArialMT" w:hAnsi="Arial" w:cs="Arial"/>
          <w:b/>
          <w:color w:val="000000"/>
          <w:sz w:val="24"/>
          <w:szCs w:val="24"/>
        </w:rPr>
        <w:t>NCPC</w:t>
      </w:r>
      <w:r w:rsidR="00D42EA1">
        <w:rPr>
          <w:rFonts w:ascii="Arial" w:eastAsia="ArialMT" w:hAnsi="Arial" w:cs="Arial"/>
          <w:color w:val="000000"/>
          <w:sz w:val="24"/>
          <w:szCs w:val="24"/>
        </w:rPr>
        <w:t xml:space="preserve">, </w:t>
      </w:r>
      <w:r w:rsidR="00EE000E" w:rsidRPr="00EE000E">
        <w:rPr>
          <w:rFonts w:ascii="Arial" w:hAnsi="Arial" w:cs="Arial"/>
          <w:bCs/>
          <w:color w:val="000000"/>
          <w:sz w:val="24"/>
          <w:szCs w:val="24"/>
        </w:rPr>
        <w:t>propor a presente:</w:t>
      </w:r>
    </w:p>
    <w:p w:rsid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22C0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ArialMT" w:hAnsi="Arial" w:cs="Arial"/>
          <w:b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b/>
          <w:color w:val="000000"/>
          <w:sz w:val="24"/>
          <w:szCs w:val="24"/>
        </w:rPr>
        <w:t>Ação de indenização por vícios construtivos – com pedido de</w:t>
      </w:r>
      <w:r w:rsidR="00FF22C0" w:rsidRPr="00FF22C0">
        <w:rPr>
          <w:rFonts w:ascii="Arial" w:eastAsia="ArialMT" w:hAnsi="Arial" w:cs="Arial"/>
          <w:b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b/>
          <w:color w:val="000000"/>
          <w:sz w:val="24"/>
          <w:szCs w:val="24"/>
        </w:rPr>
        <w:t>antecipação dos efeitos da tutela jurisdicional pretendida para a</w:t>
      </w:r>
      <w:r w:rsidR="00FF22C0" w:rsidRPr="00FF22C0">
        <w:rPr>
          <w:rFonts w:ascii="Arial" w:eastAsia="ArialMT" w:hAnsi="Arial" w:cs="Arial"/>
          <w:b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b/>
          <w:color w:val="000000"/>
          <w:sz w:val="24"/>
          <w:szCs w:val="24"/>
        </w:rPr>
        <w:t>produção antecipada de prova pericial</w:t>
      </w:r>
    </w:p>
    <w:p w:rsid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E000E" w:rsidRPr="00EE000E" w:rsidRDefault="00EE000E" w:rsidP="00A149C2">
      <w:pPr>
        <w:autoSpaceDE w:val="0"/>
        <w:autoSpaceDN w:val="0"/>
        <w:adjustRightInd w:val="0"/>
        <w:spacing w:before="120" w:after="120" w:line="360" w:lineRule="auto"/>
        <w:ind w:firstLine="2268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 xml:space="preserve">Em face de </w:t>
      </w:r>
      <w:r w:rsidRPr="00EE000E">
        <w:rPr>
          <w:rFonts w:ascii="Arial" w:eastAsia="ArialMT" w:hAnsi="Arial" w:cs="Arial"/>
          <w:bCs/>
          <w:color w:val="000000"/>
          <w:sz w:val="24"/>
          <w:szCs w:val="24"/>
        </w:rPr>
        <w:t>..., pessoa jurídica de direito privado</w:t>
      </w:r>
      <w:r w:rsidRPr="00EE000E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inscrito no</w:t>
      </w:r>
      <w:r w:rsidRPr="00EE0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CNPJ...., com sede no endereço..., endereço eletrônico, </w:t>
      </w:r>
      <w:r w:rsidRPr="00EE000E">
        <w:rPr>
          <w:rFonts w:ascii="Arial" w:hAnsi="Arial" w:cs="Arial"/>
          <w:bCs/>
          <w:color w:val="000000"/>
          <w:sz w:val="24"/>
          <w:szCs w:val="24"/>
        </w:rPr>
        <w:t>pelos fundamentos de fato e de direitos a seguir aduzidos:</w:t>
      </w:r>
    </w:p>
    <w:p w:rsidR="004B2F7F" w:rsidRPr="00EE000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F22C0">
        <w:rPr>
          <w:rFonts w:ascii="Arial" w:hAnsi="Arial" w:cs="Arial"/>
          <w:b/>
          <w:bCs/>
          <w:color w:val="000000"/>
          <w:sz w:val="24"/>
          <w:szCs w:val="24"/>
        </w:rPr>
        <w:t>I – Breve resumo dos fatos</w:t>
      </w:r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O Condomínio autor, Excelência, foi idealizado pela ré para ser um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projeto altamente sofisticado e diferenciado.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lastRenderedPageBreak/>
        <w:t>Nesta qualidade, prometeu as unidades autônomas que seriam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futuramente erigidas, baseada, puramente, em apelos de ordem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color w:val="000000"/>
          <w:sz w:val="24"/>
          <w:szCs w:val="24"/>
        </w:rPr>
        <w:t>140</w:t>
      </w:r>
      <w:r w:rsidR="00FF22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emocional ligados às ideias de magnitude, requinte, proposta ousada,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criatividade e excelente localização, atrelados, todos, aos detalhes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constantes do respectivo plano, dentre os quais, a guisa de exemplo,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o lazer, a segurança e o conjunto de todas as regalias que propagou,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conforme se depreende de material publicitário extraído do (...) (doc.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2).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No referido material publicitário eletrônico verifica-se, com meridiana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clareza, inovações tecnológicas como, por exemplo, “Elevador com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reconhecimento digital, dando acesso restrito à sua residência apenas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para pessoas autorizadas.”, bem como a opção de apartamentos com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3, 4 ou 5 vagas de garagem.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Além da extensa área de lazer que, dentre os inúmeros itens,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destaca-se: Salão de festas, Churrasqueira, Sala de recreação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infantil, Playground, Fitness, Sauna com Ducha, Piscina adulto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climatizada com raia, Piscina infantil climatizada, </w:t>
      </w:r>
      <w:proofErr w:type="spellStart"/>
      <w:r w:rsidRPr="00FF22C0">
        <w:rPr>
          <w:rFonts w:ascii="Arial" w:eastAsia="ArialMT" w:hAnsi="Arial" w:cs="Arial"/>
          <w:color w:val="000000"/>
          <w:sz w:val="24"/>
          <w:szCs w:val="24"/>
        </w:rPr>
        <w:t>Solarium</w:t>
      </w:r>
      <w:proofErr w:type="spellEnd"/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 e Estação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 ginástica externa.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Em suma, em tudo e por tudo, um empreendimento destinado 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pessoas de elevado poder aquisitivo.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Contudo, Excelência, uma vez concluída e entregue a obra no dia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(...) (certificado de conclusão anexo – doc. 3), outra passou a ser 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impressão dos adquirentes – que não mais a de empreendimento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diferenciado – assim que passaram a ocupar o condomínio autor.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Isto porque, à medida que o índice de ocupação 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empreendimento foi se tornando maior, em razão da imissão na posse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das unidades pelos compradores, constatou-se uma série de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irregularidades e problemas de ordem técnica no empreendimento.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Entre eles, mas não se limitando a tais, divergências entre o projeto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apresentado e aprovado perante a municipalidade bem como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comercializado junto aos compradores no tocante à quantidade de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vagas de garagem e ao espaço tridimensional das mesmas, espaço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para circulação de veículos, divergência de layout dos ambientes 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térreo (escadarias, rampas, guarita e piscina), deficiência de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ventilação permanente no 2º subsolo, bloqueio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lastRenderedPageBreak/>
        <w:t>de acesso ao hall 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elevador social, além dos inúmeros vícios construtivos, podendo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destacar-se, entre eles: infiltrações, machas de escorrimento e</w:t>
      </w:r>
      <w:r w:rsidR="00FF22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fissuras no revestimento da fachada, ausência de identificação de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registros e casa de máquinas, deslocamentos, quebras 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rejuntamentos inadequados nos pisos do empreendimento como um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todo, trincas, fissuras e instalações elétricas inadequadas em muros 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paredes externas, entre outros vícios.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Em razão dos inúmeros problemas verificados, o condomínio autor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contratou empresa de engenharia especializada, com o escopo de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realizar uma vistoria completa no empreendimento, elaborando laudo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que apontasse todas as irregularidades verificadas, bem como os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prejuízos experimentados pelo mesmo em razão delas.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Tal trabalho resultou na produção de dois pareceres, a saber: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Laudo de Inspeção de “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Check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List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”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e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Laudo Técnico de Auditoria –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Vagas de Estacionamento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(anexos – doc. 4).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Para a surpresa do condomínio autor, alguns dos problemas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encontrados e apontados nos pareceres são extremamente sérios,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não sendo passíveis, inclusive, de reparação física.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Dessa forma, buscando viabilizar uma composição amigável, 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condomínio autor notificou extrajudicialmente a ré (notificação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extrajudicial anexa – doc. 5), o que resultou numa missiva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encaminhada pela ré agendando uma reunião para tratar dos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problemas (carta encaminhada pela ré – doc. 6).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Referida reunião ocorreu no dia (...), com representantes técnicos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(engenheiros) e jurídicos (advogados), tanto da ré, como do autor.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Contudo, nada obstante o esforço empreendido pelo autor para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viabilizar uma composição amigável, referida reunião foi infrutífera,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resultando em contra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notificação enviada pela ré (doc. 7).</w:t>
      </w: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Logo, tendo em vista a impossibilidade de composição, bem com os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inúmeros problemas existentes no condomínio autor, que resultam em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enorme prejuízo, não restou alternativa ao mesmo, senão socorrer-se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do Poder Judiciário a fim de buscar as devidas reparações.</w:t>
      </w:r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F22C0">
        <w:rPr>
          <w:rFonts w:ascii="Arial" w:hAnsi="Arial" w:cs="Arial"/>
          <w:b/>
          <w:bCs/>
          <w:color w:val="000000"/>
          <w:sz w:val="24"/>
          <w:szCs w:val="24"/>
        </w:rPr>
        <w:t>II – Direito</w:t>
      </w:r>
    </w:p>
    <w:p w:rsid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Se a construção, durante a garantia, encontra-se em estado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deplorável, significa que a mesma não observou a boa técnica de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construção, agindo a ré, portanto, com flagrante culpa na execução 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projeto, muito embora a sua responsabilidade no prazo 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qüinqüenal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seja objetiva.</w:t>
      </w:r>
    </w:p>
    <w:p w:rsidR="00FF22C0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Nesse sentido o Professor Hely Lopes Meirelles,</w:t>
      </w:r>
      <w:r w:rsidR="00FF22C0">
        <w:rPr>
          <w:rFonts w:ascii="Arial" w:eastAsia="ArialMT" w:hAnsi="Arial" w:cs="Arial"/>
          <w:color w:val="50505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como um dos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Juristas precursores sobre a matéria, lecionava sobre 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responsabilidade do empreiteiro: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552" w:hanging="142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“A responsabilidade pela perfeição da obra é o primeiro dever legal de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todo profissional ou firma de Engenharia, Arquitetura ou Agronomia,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sendo de se presumir em qualquer contrato de construção, particular ou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pública, mesmo que não conste de nenhuma cláusula do ajuste. Isto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porque a construção civil é, modernamente, mais que um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empreendimento leigo, um processo técnico de alta especialização, que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exige, além da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peritia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artes do prático passado, a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peritia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técnica do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profissional da atualidade.”</w:t>
      </w:r>
    </w:p>
    <w:p w:rsidR="00A149C2" w:rsidRDefault="00A149C2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Ocorre que a obra entregue pela ré padece de urgentes reparos da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construção, vez que coloca em risco a segurança de seus moradores,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entendida esta na acepção da palavra, como o atendimento às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condições normais de moradia, o que não se verifica, de forma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alguma, nas fotos (...) (Descrição... parecer – doc. 4).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Assim, diante desses fatos incontroversos a construção tem sua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segurança, lato sensu, abalada. Neste sentido, segue ementa de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acórdão esclarecedor: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240" w:lineRule="auto"/>
        <w:ind w:left="241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“Empreitada – Construção de edifício – responsabilidade do construtor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pela solidez e segurança – Defeitos constatados pela perícia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Infiltrações de água e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umidade – Incidência do art. 1.245 do Código Civil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[atual art. 618] – Apelação provida. Conforme orientação da moderna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jurisprudência, ‘o art. 1.245 do Código Civil [atual art. 618] deve ser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interpretado e aplicado tendo em vista as realidades da construção civil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nos dias atuais. Vazamentos nas instalações hidráulicas, constatados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pericialmente e afirmados como defeitos de maior gravidade nas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instâncias locais. Prejuízos inclusive à saúde dos moradores. Não é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seguro um edifício que não proporcione a seus moradores condições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normais de habitabilidade e salubridade. Doutrina brasileira e estrangeira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quanto à extensão da responsabilidade do construtor (no caso, da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incorporadora que assumiu a construção do prédio). Prazo quinquenal de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garantia’. (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Resp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n.º 1882-RJ, in RSTJ, 12/330). No caso presente, os</w:t>
      </w:r>
      <w:proofErr w:type="gramStart"/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gram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defeitos da construção foram constatados pela perícia, consistentes em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infiltrações de água e umidade, tanto nas unidades autônomas como nas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partes de uso comum, pela que deve ser responsabilizada a construtora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por sua reparação, eis que ocorreram durante o prazo quinquenal de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garantia” (Ac. un. da 3ª C. Civ. do TAPR – AC 78.192-6 – Rel. Juiz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Domingos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Ramina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– j 21.11.1995 –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Aptes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.: Condomínio Edifício S. 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outros –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Apdas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.: Sociedade Construtora C. Ltda. e outras – DJPR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1º.12.1995, p. 51 – ementa oficial – Repertório IOB de jurisprudência n.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2/96 – p. 25 – 3/11.610).</w:t>
      </w:r>
    </w:p>
    <w:p w:rsid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Igualmente o Egrégio Superior Tribunal de Justiça decidiu que:</w:t>
      </w:r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left="241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“Direito Civil. Responsabilidade Civil. Empreitada. Defeitos na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Construção que comprometem as condições elementares de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habitabilidade. O art.1245 do Código Civil de 1916 [correspondente ao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art. 618, do Código atual] abrange os defeitos que prejudicam 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habitabilidade do edifício, não se limitando aos danos que acarretem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ruína da construção. Precedentes. Recurso Especial não conhecido”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REsp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nº 595.239/SP – Rel. Min. César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Asfor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Rocha – 4ª T. – DJ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13.09.2004).</w:t>
      </w:r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lastRenderedPageBreak/>
        <w:t>Nesse mesmo sentido:</w:t>
      </w:r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left="2410" w:hanging="142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“Empreitada de Construção de Edifício. Aplicação do Artigo 1245 [atual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art. 618] do Código Civil. Conceito de ‘segurança’ do prédio. Infiltrações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 Águas e Umidade. O Art.1245 do Código Civil deve ser interpretado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aplicado tendo em vista as realidades da construção civil nos dias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atuais. Vazamentos nas instalações hidráulicas, constatados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pericialmente e afirmados como defeitos de maior gravidade nas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instâncias locais. Prejuízos inclusive a saúde dos moradores. Não é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seguro um edifício que não proporcione a seus moradores condições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normais de habitabilidade e salubridade. Doutrina Brasileira 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Estrangeira quanto a extensão da responsabilidade do construtor (no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caso da incorporadora que assumiu a construção do prédio). Prazo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quinquenal de garantia. Recurso Especial não conhecido” (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REsp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nº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1.882/RJ – Rel. Min.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Athos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Carneiro – 4ª T. –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DJ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26.03.1990).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Descumprimento obrigacional da ré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Rememorando as preleções legadas pelo direito romano – cuja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essência, neste particular, é válida até hoje –, o contrato é um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acordo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 vontades que cria, modifica ou extingue direitos de natureza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patrimonial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, dele advindo um plexo de obrigações mútuas que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devem ser cumpridas pelas partes, mas que na prática, por uma série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 razões, não o são, o que dá ensejo à responsabilidade patrimonial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do faltoso.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 desponta insofismável que, do desdobramento fático encenado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entre a ré, o autor e os condôminos, o vínculo jurídico entre eles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travado, como não poderia deixar de ser, não representa exceção à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regra.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Por meio dele, a ré assumiu uma série de obrigações, sendo 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mais evidentes delas – em linhas gerais –, a perfeita execução,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acabamento e entrega da obra – e, em particular e como ora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interessa, da área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lastRenderedPageBreak/>
        <w:t>comum – nos exatos termos empenhados no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memorial descritivo (documento...):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Na via oposta – mas partindo-se do mesmo prisma –, não resta 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menor dúvida de que a ré executou, concluiu e entregou o edifício em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péssimo estado geral e, mais particularmente, suas áreas comuns,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com suas características e componentes em desconformidade com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aquilo a que havia se empenhado.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Pelo que revelou o relatório de inspeção predial (doc. 4), existe 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“necessidade de execução de serviços de correção e finalização das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obras, para que seja efetuada a entrega adequada do condomínio”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sendo que todos os reparos devem ser realizados pela construtora.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E se a falta de categoria dos arremates pela ré providenciados no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narrado edifício já não fosse suficiente, nunca é demais rememorar,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Excelência, que o mesmo, atualmente, também não conta com 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possibilidade de uso pleno das vagas de garagem pela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desconformidade apontada no parecer acostado (doc. 4).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Conclusão irreprochável de tais ideias é uma só: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 ré segue em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mora com as suas peculiares </w:t>
      </w:r>
      <w:proofErr w:type="gram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obrigações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.</w:t>
      </w:r>
      <w:proofErr w:type="gramEnd"/>
      <w:r w:rsidRPr="00FF22C0">
        <w:rPr>
          <w:rFonts w:ascii="Arial" w:eastAsia="ArialMT" w:hAnsi="Arial" w:cs="Arial"/>
          <w:color w:val="000000"/>
          <w:sz w:val="24"/>
          <w:szCs w:val="24"/>
        </w:rPr>
        <w:t>E a este respeito, a obrigação é o vínculo jurídico transitório – que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normalmente extingue-se com o pagamento, pois é o ato que por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natureza finaliza a obrigação – por meio do qual o devedor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compromete-se a dar, fazer ou não fazer algo ou alguma coisa em prol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do credor.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Seja como for, o conjunto das atitudes por ela, a ré, assumidas – em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boa medida fruto da irresponsabilidade no cumprimento das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obrigações a que se comprometeu –, enseja consequências outras, da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mais variada ordem.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Segundo </w:t>
      </w:r>
      <w:proofErr w:type="spellStart"/>
      <w:r w:rsidRPr="00FF22C0">
        <w:rPr>
          <w:rFonts w:ascii="Arial" w:eastAsia="ArialMT" w:hAnsi="Arial" w:cs="Arial"/>
          <w:color w:val="000000"/>
          <w:sz w:val="24"/>
          <w:szCs w:val="24"/>
        </w:rPr>
        <w:t>Larenz</w:t>
      </w:r>
      <w:proofErr w:type="spellEnd"/>
      <w:r w:rsidRPr="00FF22C0">
        <w:rPr>
          <w:rFonts w:ascii="Arial" w:eastAsia="ArialMT" w:hAnsi="Arial" w:cs="Arial"/>
          <w:color w:val="000000"/>
          <w:sz w:val="24"/>
          <w:szCs w:val="24"/>
        </w:rPr>
        <w:t>, o dano é uma perda não querida pela vítima, cujas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consequências recaem sobre seus bens, saúde, integridade física,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desenvolvimento profissional, expectativas de ganho, patrimônio 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sobre os direitos da personalidade, ou seja, sobre a paz de espírito da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vítima.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lastRenderedPageBreak/>
        <w:t xml:space="preserve">Para </w:t>
      </w:r>
      <w:proofErr w:type="spellStart"/>
      <w:r w:rsidRPr="00FF22C0">
        <w:rPr>
          <w:rFonts w:ascii="Arial" w:eastAsia="ArialMT" w:hAnsi="Arial" w:cs="Arial"/>
          <w:color w:val="000000"/>
          <w:sz w:val="24"/>
          <w:szCs w:val="24"/>
        </w:rPr>
        <w:t>Enneccerus</w:t>
      </w:r>
      <w:proofErr w:type="spellEnd"/>
      <w:r w:rsidRPr="00FF22C0">
        <w:rPr>
          <w:rFonts w:ascii="Arial" w:eastAsia="ArialMT" w:hAnsi="Arial" w:cs="Arial"/>
          <w:color w:val="000000"/>
          <w:sz w:val="24"/>
          <w:szCs w:val="24"/>
        </w:rPr>
        <w:t>, o dano pode atingir qualquer espécie de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desvantagem a um bem jurídico, seja ele o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“patrimônio, corpo, vida,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s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aúde, honra, crédito, bem-estar, capacidade de aquisição etc.”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Com efeito, a reparação dos danos demanda, hoje, uma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configuração teleológica, que não se restringe aos aspectos técnicos,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tradicionais, mas a todos os meios colocados à disposição da vítima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para ter acesso a uma ordem jurídica justa.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Solução irretocável disso é legada pela letra do art. 389, do Código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Civil, segundo o qual,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ipsis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literis</w:t>
      </w:r>
      <w:proofErr w:type="spellEnd"/>
      <w:r w:rsidRPr="00FF22C0">
        <w:rPr>
          <w:rFonts w:ascii="Arial" w:eastAsia="ArialMT" w:hAnsi="Arial" w:cs="Arial"/>
          <w:color w:val="000000"/>
          <w:sz w:val="24"/>
          <w:szCs w:val="24"/>
        </w:rPr>
        <w:t>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552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“Não cumprida a obrigação, responde o devedor por perdas e danos,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mais juros e atualização monetária segundo índices oficiais regularmente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estabelecidos, e honorários de advogado.”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Dentro ainda deste mesmo contexto, o art. 186, do Código Civil,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determina que,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in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verbis</w:t>
      </w:r>
      <w:proofErr w:type="spellEnd"/>
      <w:r w:rsidRPr="00FF22C0">
        <w:rPr>
          <w:rFonts w:ascii="Arial" w:eastAsia="ArialMT" w:hAnsi="Arial" w:cs="Arial"/>
          <w:color w:val="000000"/>
          <w:sz w:val="24"/>
          <w:szCs w:val="24"/>
        </w:rPr>
        <w:t>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694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“Aquele que, por ação ou omissão voluntária, negligência ou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imprudência, violar direito e causar dano a outrem, ainda que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exclusivamente moral, comete ato ilícito.”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A seu turno, o art. 927, da mesma ordenação legal, arremata,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ipsisliteris</w:t>
      </w:r>
      <w:proofErr w:type="spellEnd"/>
      <w:r w:rsidRPr="00FF22C0">
        <w:rPr>
          <w:rFonts w:ascii="Arial" w:eastAsia="ArialMT" w:hAnsi="Arial" w:cs="Arial"/>
          <w:color w:val="000000"/>
          <w:sz w:val="24"/>
          <w:szCs w:val="24"/>
        </w:rPr>
        <w:t>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694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“Aquele que, por ato ilícito (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arts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. 186 e 187), causar dano a outrem, fica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obrigado a repará-lo.”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Além da regra geral insculpida no art. 389 conjugado com os </w:t>
      </w:r>
      <w:proofErr w:type="spellStart"/>
      <w:r w:rsidRPr="00FF22C0">
        <w:rPr>
          <w:rFonts w:ascii="Arial" w:eastAsia="ArialMT" w:hAnsi="Arial" w:cs="Arial"/>
          <w:color w:val="000000"/>
          <w:sz w:val="24"/>
          <w:szCs w:val="24"/>
        </w:rPr>
        <w:t>arts</w:t>
      </w:r>
      <w:proofErr w:type="spellEnd"/>
      <w:r w:rsidRPr="00FF22C0">
        <w:rPr>
          <w:rFonts w:ascii="Arial" w:eastAsia="ArialMT" w:hAnsi="Arial" w:cs="Arial"/>
          <w:color w:val="000000"/>
          <w:sz w:val="24"/>
          <w:szCs w:val="24"/>
        </w:rPr>
        <w:t>.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186 e 927, todos do Diploma Civil, verifica-se o princípio constitucional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da ampla reparação, contido no art. 5º, V e X, da Constituição Federal,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que bem espelha tal tendência, pois esposa a tese da ruptur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>a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 com os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conceitos tradicionais, ligando a reparação aos postulados do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estado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social de direito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 à garantia ao prejudicado de ver realizado 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princípio basilar do direito que determina seja dado a cada um o que é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seu, demandando a recomposição do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lastRenderedPageBreak/>
        <w:t>dano a partir da tônica da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reparação integral, que hoje rege o direito obrigacional.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E o Código de Defesa do Consumidor incorporou tal tendência.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Com efeito, ele dispõe que: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41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“Art. 6º São direitos básicos do consumidor: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41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(...)</w:t>
      </w: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left="241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VI – a efetiva prevenção e reparação de danos patrimoniais e morais</w:t>
      </w:r>
      <w:r w:rsid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individuais, coletivos e difusos.”</w:t>
      </w:r>
      <w:proofErr w:type="gramEnd"/>
    </w:p>
    <w:p w:rsidR="00FF22C0" w:rsidRPr="00FF22C0" w:rsidRDefault="00FF22C0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Desde 1990, este é o comando legal que responsabiliza 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fornecedor habitual de produtos ou serviços pelos danos que vier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causar ao respectivo destinatário final, danos estes representados, no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particular, por todo e qualquer prejuízo ao patrimônio do ofendido bem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como a um direito personalíssimo.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Vagas de garagem e direito aplicável – prática abusiva da ré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De fato, com a ocupação gradual do prédio, foi constatada 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ausência e a irregularidade nas vagas de garagem, não sendo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necessário mencionar, por evidentes, os inúmeros transtornos que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esse fato gera ao Condomínio apelante.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De qualquer forma, é imprescindível que se possa abrir a porta do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veículo para saída de seus ocupantes após o estacionamento.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O problema técnico com as vagas, em suma, consiste em (</w:t>
      </w:r>
      <w:proofErr w:type="gramStart"/>
      <w:r w:rsidRPr="00FF22C0">
        <w:rPr>
          <w:rFonts w:ascii="Arial" w:eastAsia="ArialMT" w:hAnsi="Arial" w:cs="Arial"/>
          <w:color w:val="000000"/>
          <w:sz w:val="24"/>
          <w:szCs w:val="24"/>
        </w:rPr>
        <w:t>...)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Para</w:t>
      </w:r>
      <w:proofErr w:type="gramEnd"/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 evitar situações esdrúxulas como essas, existem normas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técnicas, tendo em vista que o condomínio foi comercializado pela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apelada com 3, 4 ou 5 vagas por apartamento – que devem, por óbvio,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respeitar normas técnicas – e não existem, comprovadamente, as</w:t>
      </w:r>
      <w:r w:rsidR="00FF22C0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vagas prometidas de acordo com as normas aplicáveis.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Nesse sentido, convém mencionar decisões que emanam do</w:t>
      </w:r>
      <w:r w:rsidR="00B937C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Tribunal de Minas Gerais: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Tribunal de Alçada de Minas Gerais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. “Promessa de compra e venda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Bem imóvel – incorporação imobiliária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– vaga de garagem – construção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defeitos e irregularidades – obrigação de fazer – regularização do imóvel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– indenização – laudo pericial – prestação jurisdicional – limite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princípio da correlação – sucumbência recíproca – litigância de má-fé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não caracterização – Pelo princípio da correlação, o pedido do autor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deduzido na inicial limita a prestação jurisdicional. Sendo o ponto central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da lide a existência ou não de defeitos e irregularidades na construção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 um edifício de apartamentos, matéria eminentemente técnica, tem-se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que o conteúdo do laudo pericial será a base para o convencimento do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julgador. Ficando comprovado nos autos que foram vendidas vagas de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garagem acima da capacidade estrutural do edifício, é devida 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indenização aos prejudicados. É obrigação do incorporador e da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construtora a devida regularização do imóvel, e a inércia deles permite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aos adquirentes as providências cabíveis” (Acórdão 0414407-6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Apelação Cível – Juiz de Fora – Terceira Câmara Cível – Juíza Albergaria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Costa – j. 03.12.2003 –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Publ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: 14.05.2004 – Unânime).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Tribunal de Alçada de Minas Gerais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. “Promessa de compra e venda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rescisão – vício aparente – CC/16, art. 1.101 – vício redibitório não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configurado – decadência – inteligência do art. 337, CPC [atual art. 376]</w:t>
      </w:r>
      <w:proofErr w:type="gramStart"/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proofErr w:type="gram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–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subdimensionamento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de vagas de garagem – Decreto-lei 84/40 de Belo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Horizonte – questão de ordem pública – objeto ilícito – contrato nulo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restabelecimento do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statu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quo ante. 1. Não pode o contratante, com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vistas a redibir o contrato, suscitar vício aparente da coisa e, ainda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assim, intempestivamente, após consumada a decadência (CC/16, art.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178, § 5, IV). 2. É nula a promessa de compra e venda de vagas de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garagem com dimensões inferiores à estatuída em lei (CC/16, art. 145, II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c/c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Decretolei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no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84/40, art. 225, do município de Belo Horizonte),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devendo ser restabelecido o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statu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quo ante (CC/16, art. 158)” (Acórdão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0391789-3 – Apelação Cível – Belo Horizonte – Primeira Câmara Cível –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Juiz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Osmando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Almeida – j. 24.06.2003).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Certo é que a disparidade das vagas com o Código de Edificações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do Município de São Paulo, conforme apurado no parecer (doc. 4),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afronta o disposto no inciso VIII do art. 39 da Lei 8.078/1990, que trata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das práticas abusivas:</w:t>
      </w:r>
      <w:r w:rsidR="00A149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FF22C0">
        <w:rPr>
          <w:rFonts w:ascii="Arial" w:hAnsi="Arial" w:cs="Arial"/>
          <w:color w:val="000000"/>
          <w:sz w:val="24"/>
          <w:szCs w:val="24"/>
        </w:rPr>
        <w:t>148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552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“Art. 39. É vedado ao fornecedor de produtos e serviços, dentre outras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práticas abusivas: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552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(...)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552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VIII – colocar, no mercado de consumo, qualquer produto ou serviço em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desacordo com as normas expedidas pelos órgãos oficiais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competentes...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552"/>
        <w:jc w:val="both"/>
        <w:rPr>
          <w:rFonts w:ascii="Arial" w:hAnsi="Arial" w:cs="Arial"/>
          <w:i/>
          <w:iCs/>
          <w:color w:val="50505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Nesse sentido, esclarece </w:t>
      </w:r>
      <w:proofErr w:type="spellStart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Antonio</w:t>
      </w:r>
      <w:proofErr w:type="spellEnd"/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Herman de Vasconcellos e Benjamin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que ‘é compreensível, portanto, que tais práticas sejam consideradas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ilícitas ‘per se’, independentemente da ocorrência de dano para o</w:t>
      </w:r>
      <w:r w:rsidR="00A149C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consumidor. Para elas vige a presunção absoluta de ilicitude’”.</w:t>
      </w:r>
      <w:r w:rsidRPr="00FF22C0">
        <w:rPr>
          <w:rFonts w:ascii="Arial" w:hAnsi="Arial" w:cs="Arial"/>
          <w:i/>
          <w:iCs/>
          <w:color w:val="505050"/>
          <w:sz w:val="24"/>
          <w:szCs w:val="24"/>
        </w:rPr>
        <w:t>16</w:t>
      </w:r>
    </w:p>
    <w:p w:rsidR="00B937C4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O ato ilícito gera o dever de indenizar.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Explica Benjamin: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/>
          <w:iCs/>
          <w:color w:val="50505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“As práticas abusivas detonam o dever de reparar. Sempre cabe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indenização pelos danos causados, inclusive morais...”</w:t>
      </w: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505050"/>
          <w:sz w:val="24"/>
          <w:szCs w:val="24"/>
        </w:rPr>
      </w:pPr>
      <w:r w:rsidRPr="00FF22C0">
        <w:rPr>
          <w:rFonts w:ascii="Arial" w:eastAsia="ArialMT" w:hAnsi="Arial" w:cs="Arial"/>
          <w:color w:val="000000"/>
          <w:sz w:val="24"/>
          <w:szCs w:val="24"/>
        </w:rPr>
        <w:t>Portanto, o réu deve indenizar o valor que for apurado na perícia</w:t>
      </w:r>
      <w:r w:rsidR="00B937C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pelo desrespeito às normas técnicas aplicáveis às vagas de garagem.</w:t>
      </w:r>
      <w:r w:rsidR="00B937C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>Se isso não bastasse, na dicção de Stiglitz, as “práticas abusivas”</w:t>
      </w:r>
      <w:r w:rsidR="00B937C4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t xml:space="preserve">representam </w:t>
      </w:r>
      <w:r w:rsidRPr="00FF22C0">
        <w:rPr>
          <w:rFonts w:ascii="Arial" w:eastAsia="ArialMT" w:hAnsi="Arial" w:cs="Arial"/>
          <w:color w:val="000000"/>
          <w:sz w:val="24"/>
          <w:szCs w:val="24"/>
        </w:rPr>
        <w:lastRenderedPageBreak/>
        <w:t xml:space="preserve">condições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“que ferem os alicerces da ordem jurídica,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seja pelo prisma da boa-fé, seja pela ótica da ordem pública e dos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bons costumes”.</w:t>
      </w: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505050"/>
          <w:sz w:val="24"/>
          <w:szCs w:val="24"/>
        </w:rPr>
      </w:pP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De fato, desrespeitar as normas técnicas </w:t>
      </w:r>
      <w:r w:rsidR="00A149C2"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pertinentes</w:t>
      </w: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 às vagas de</w:t>
      </w:r>
      <w:r w:rsidR="00B937C4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garagem, representa “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alta dose de imoralidade econômica e de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opressão”.</w:t>
      </w:r>
    </w:p>
    <w:p w:rsidR="00B937C4" w:rsidRPr="00FF22C0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50505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left="212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III – Urgência na antecipação da tutela para a produção</w:t>
      </w:r>
      <w:r w:rsidR="00B937C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antecipada de prova pericial (CPC, </w:t>
      </w:r>
      <w:proofErr w:type="spellStart"/>
      <w:r w:rsidRPr="00FF22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arts</w:t>
      </w:r>
      <w:proofErr w:type="spellEnd"/>
      <w:r w:rsidRPr="00FF22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 297 e 300)</w:t>
      </w:r>
    </w:p>
    <w:p w:rsidR="00B937C4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Mais do que ponto pacífico, Excelência, chega a ser axiomático que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 constatação, o reconhecimento e a verificação tanto do péssimo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estado geral do edifício quanto a ausência de vagas de garagem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regulares a viabilizar a utilização do prédio, pelos condôminos,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segundo a destinação habitual para a qual o mesmo foi edificado,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ficará necessariamente a cargo da perícia em tudo e por tudo já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requerida.</w:t>
      </w:r>
    </w:p>
    <w:p w:rsidR="004B2F7F" w:rsidRPr="00A149C2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A149C2">
        <w:rPr>
          <w:rFonts w:ascii="Arial" w:hAnsi="Arial" w:cs="Arial"/>
          <w:iCs/>
          <w:color w:val="FF0000"/>
          <w:sz w:val="24"/>
          <w:szCs w:val="24"/>
        </w:rPr>
        <w:t>(Descrever os problemas mais graves que ensejam a concessão de</w:t>
      </w:r>
      <w:r w:rsidR="00B937C4" w:rsidRPr="00A149C2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149C2">
        <w:rPr>
          <w:rFonts w:ascii="Arial" w:hAnsi="Arial" w:cs="Arial"/>
          <w:iCs/>
          <w:color w:val="FF0000"/>
          <w:sz w:val="24"/>
          <w:szCs w:val="24"/>
        </w:rPr>
        <w:t>antecipação de tutela)</w:t>
      </w:r>
      <w:r w:rsidR="00B937C4" w:rsidRPr="00A149C2">
        <w:rPr>
          <w:rFonts w:ascii="Arial" w:hAnsi="Arial" w:cs="Arial"/>
          <w:iCs/>
          <w:color w:val="FF0000"/>
          <w:sz w:val="24"/>
          <w:szCs w:val="24"/>
        </w:rPr>
        <w:t xml:space="preserve"> 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Afinal, os fatos, estes sim, uma vez surgidos no plano </w:t>
      </w:r>
      <w:proofErr w:type="spellStart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físicofenomênico</w:t>
      </w:r>
      <w:proofErr w:type="spellEnd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jamais podem ser alterados na sua substância. Eles são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o que são e nada mais.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No entanto, também é sabido que a correta aplicação do direito ao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caso concreto, atividade fim do Estado juiz, passa necessariamente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por uma correta contextualização destes fatos sob pena de, ao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contrário, o magistrado, ao partir de uma premissa ainda que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minimamente deturpada, o que dirá falsa, ser levado a erro e, assim,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formar a sua convicção equivocadamente, ainda que, na pior das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hipóteses, a desconhecimento seu.</w:t>
      </w:r>
    </w:p>
    <w:p w:rsidR="00B937C4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Por isso toda a relevância, no presente caso, da sua colheita, e 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mais rápido possível.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</w:p>
    <w:p w:rsidR="00B937C4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Probabilidade do direito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lastRenderedPageBreak/>
        <w:t>O juízo de probabilidade do acolhimento das alegações até então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suscitadas, em razão da plausibilidade das mesmas, encontra-se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flagrantemente presente no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 xml:space="preserve">parecer (doc. 4)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que o autor por sua conta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p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rovidenciou.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Ausência de prejuízo com a antecipação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 antecipação de tutela de natureza cautelar, para a produção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antecipada de prova pericial que ora se colima não espelha qualquer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prejuízo para a ré ou para o deslinde da presente medida judicial.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Ao contrário, visto que não se busca antecip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>a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 um resultado que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modifique o estado de direitos das partes, mas sim antecipar um ato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inerente ao próprio processo e que, nesta exata medida,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invariavelmente ocorrerá, seja agora, sem prejuízo para o autor, a ré 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 demanda, ou depois, também sem prejuízo para a ré e a demanda,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mas sim – evidentíssimo, aliás – para o autor e os seus condôminos,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posto que estará impedida, durante a fase da regular marcha da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A7BCE">
        <w:rPr>
          <w:rFonts w:ascii="Arial" w:hAnsi="Arial" w:cs="Arial"/>
          <w:iCs/>
          <w:color w:val="000000"/>
          <w:sz w:val="24"/>
          <w:szCs w:val="24"/>
        </w:rPr>
        <w:t>instrução, de providenciar o necessário para, ainda que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precariamente, permitir a habitação dos condôminos de acordo com a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finalidade da edificação.</w:t>
      </w:r>
    </w:p>
    <w:p w:rsidR="00B937C4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Fundado receio de dano irreparável ou de difícil reparação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Além de a antecipação que ora se colima não espelhar qualquer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prejuízo para a ré ou para o deslinde da presente medida judicial, na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senda oposta, o fundado receio de dano irreparável ou de difícil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reparação caso a produção antecipada de prova pericial não seja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concedida é ainda mais nítido.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Ocorre, Excelência, que a manutenção do atual estado de coisas,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além de inviabilizar a utilização de algumas áreas comuns do prédio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pelos condôminos, como um todo e segundo a destinação habitual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para a qual o autor foi edificado e ser desfavorável aos direitos de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ordem personalíssima dos quais os mesmos são titulares, à evidência,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claramente coloca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a saúde e a segurança dos mesmos em linha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direta de risco assim como submete a própria edificação a riscos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desnecessários de deterioração precoce, de insegurança à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 xml:space="preserve">funcionalidade, de desperdícios e de desvalorização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(cf. atesta 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relatório de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lastRenderedPageBreak/>
        <w:t>inspeção predial copiado em anexo – doc. 4).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Na seara adversa, deferida a antecipação de tutela para a produção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antecipada da prova pericial, o autor terá muito mais liberdade para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afastar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o fundado receio de danos irreparáveis ou de difícil reparação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 xml:space="preserve">tanto a pessoas quanto a coisas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na exata medida em que a prova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cabal para o deslinde da presente demanda já estará pré-constituída –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 xml:space="preserve">garantido, assim, o bom resultado da lide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– e a sua resolução poderá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ficar a cargo da condenação da ré em perdas e danos.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Fungibilidade e instrumentalidade entre a antecipação de tutela e 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medida cautelar incidental, sendo ambas para a produção antecipada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da prova pericial.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Na medida em que tanto a tutela antecipada quanto a medida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cautelar são meios de agilização do processo, a fungibilidade, a seu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turno, é um princípio processual implícito que decorre do princípio da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instrumentalidade das formas e dos atos processuais, como pode ser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observado na análise do art. 277, do Código de Processo Civil,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in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4A7BCE">
        <w:rPr>
          <w:rFonts w:ascii="Arial" w:hAnsi="Arial" w:cs="Arial"/>
          <w:iCs/>
          <w:color w:val="000000"/>
          <w:sz w:val="24"/>
          <w:szCs w:val="24"/>
        </w:rPr>
        <w:t>verbis</w:t>
      </w:r>
      <w:proofErr w:type="spellEnd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:</w:t>
      </w:r>
    </w:p>
    <w:p w:rsidR="004B2F7F" w:rsidRPr="004A7BCE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A7BCE">
        <w:rPr>
          <w:rFonts w:ascii="Arial" w:hAnsi="Arial" w:cs="Arial"/>
          <w:iCs/>
          <w:color w:val="000000"/>
          <w:sz w:val="24"/>
          <w:szCs w:val="24"/>
        </w:rPr>
        <w:t>“Art. 277. Quando a lei prescrever determinada forma, o juiz considerará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válido o ato se, realizado de outro modo, lhe alcançar a finalidade.”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Em outras palavras, o ato só se considera nulo e sem efeito se,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além de inobservância da forma legal, não tiver alcançado a sua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finalidade.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Via de consequência, a intenção legislativa é cristalina no sentido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de pugnar pelo objetivo do ato e não pelo ato em si mesmo,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conduzindo o operador do direito à lógica do sistema e à racionalidade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 fim de se evitar que a finalidade do ato seja substituída pela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formalidade do mesmo, o que, de per si, é um desvio de valores.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Dentro dessa perspectiva, o princípio da fungibilidade, antes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admitido em razão do revogado § 7º do art. 273 do CPC de 1973, hoje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é aceito em razão da leitura dos </w:t>
      </w:r>
      <w:proofErr w:type="spellStart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arts</w:t>
      </w:r>
      <w:proofErr w:type="spellEnd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. 297, 300, 301 e 308, § 1º, do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Código de Processo Civil vigente: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“Art. 297. O juiz poderá determinar as medidas que considerar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adequadas para efetivação da tutela provisória.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(...)Art. 300. A tutela de urgência será concedida quando houver elementos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que evidenciem a probabilidade do direito e o perigo de dano ou o risco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ao resultado útil do processo.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(...)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Art. 301. A tutela de urgência de natureza cautelar pode ser efetivada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mediante arresto, sequestro, arrolamento de bens, registro de protesto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contra alienação de bem e qualquer outra medida idônea para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asseguração do direito.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(...)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Art. 308. Efetivada a tutela cautelar, o pedido principal terá de ser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formulado pelo autor no prazo de 30 (trinta) dias, caso em que será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apresentado nos mesmos autos em que deduzido o pedido de tutela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cautelar, não dependendo do adiantamento de novas custas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processuais.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§ 1º O pedido principal pode ser formulado conjuntamente com o pedido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 tutela cautelar.”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 redação é hialina ao permitir que tutelas de natureza cautelar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sejam requeridas a título de urgência no bojo da ação principal.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 este respeito, William Santos Ferreira observa que:</w:t>
      </w:r>
    </w:p>
    <w:p w:rsidR="004B2F7F" w:rsidRPr="00FF22C0" w:rsidRDefault="004A7BCE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“(...) feito o pedido de tutela antecipada, pode o magistrado entendendo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como de natureza cautelar e não antecipatória, conceder o resultado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almejado pelo autor sem obrigá-lo ao ajuizamento de ação cautelar, o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que será feito de maneira incidente no processo, em outras palavras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sem a necessidade de ajuizamento e tramitação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de processo cautelar.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Neste caso a decisão do juiz deve se pautar nos requisitos específicos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da medida cautelar </w:t>
      </w:r>
      <w:r w:rsidR="004B2F7F"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(fumus boni juris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 xml:space="preserve">e </w:t>
      </w:r>
      <w:r w:rsidR="004B2F7F"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periculum in mora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) e não da tutela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antecipada</w:t>
      </w:r>
      <w:r w:rsidR="004B2F7F" w:rsidRPr="00FF22C0">
        <w:rPr>
          <w:rFonts w:ascii="Arial" w:hAnsi="Arial" w:cs="Arial"/>
          <w:i/>
          <w:iCs/>
          <w:color w:val="505050"/>
          <w:sz w:val="24"/>
          <w:szCs w:val="24"/>
        </w:rPr>
        <w:t>20</w:t>
      </w:r>
      <w:r w:rsidR="004B2F7F" w:rsidRPr="00FF22C0">
        <w:rPr>
          <w:rFonts w:ascii="Arial" w:hAnsi="Arial" w:cs="Arial"/>
          <w:i/>
          <w:iCs/>
          <w:color w:val="000000"/>
          <w:sz w:val="24"/>
          <w:szCs w:val="24"/>
        </w:rPr>
        <w:t>.”</w:t>
      </w:r>
    </w:p>
    <w:p w:rsidR="004B2F7F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eastAsia="ArialMT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Portanto, como sói ocorrer no presente caso, desde já requer o</w:t>
      </w:r>
      <w:r w:rsidR="00B937C4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autor a concessão do resultado por ele almejado sem a necessidade</w:t>
      </w:r>
      <w:r w:rsidR="00B937C4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ao ajuizamento de medida cautelar autônoma de produção antecipada</w:t>
      </w:r>
      <w:r w:rsidR="00B937C4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de provas (CPC, </w:t>
      </w:r>
      <w:proofErr w:type="spellStart"/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arts</w:t>
      </w:r>
      <w:proofErr w:type="spellEnd"/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. 381 a 383), o que, se for o caso, poderá ser</w:t>
      </w:r>
      <w:r w:rsidR="00B937C4">
        <w:rPr>
          <w:rFonts w:ascii="Arial" w:eastAsia="ArialMT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determinado incidentalmente.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4A7BCE">
        <w:rPr>
          <w:rFonts w:ascii="Arial" w:hAnsi="Arial" w:cs="Arial"/>
          <w:b/>
          <w:bCs/>
          <w:iCs/>
          <w:color w:val="000000"/>
          <w:sz w:val="24"/>
          <w:szCs w:val="24"/>
        </w:rPr>
        <w:t>IV – Inversão do ônus da prova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Quanto à inversão do ônus da prova, as características do direito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vindicado (vícios no imóvel nas áreas comuns) indicam, por si só, que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os condôminos, interessados por evidente no deslinde da questão 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representados pelo condomínio no interesse coletivo, devem ser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considerados como hipossuficientes técnicos.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Nesse sentido, já se decidiu que:</w:t>
      </w:r>
    </w:p>
    <w:p w:rsidR="004B2F7F" w:rsidRPr="00FF22C0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“(...) a hipossuficiência, que vem exigida pela lei como um dos requisitos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alternativos para inversão do ônus probatório, pode dar-se no tocante à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dificuldade técnica do consumidor em desincumbir-se do ônus de provar</w:t>
      </w:r>
      <w:r w:rsidR="00B937C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os fatos constitutivos de seu direito” (RT 775/275).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50505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Segundo a lição de Luiz </w:t>
      </w:r>
      <w:proofErr w:type="spellStart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Antonio</w:t>
      </w:r>
      <w:proofErr w:type="spellEnd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proofErr w:type="spellStart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Rizzatto</w:t>
      </w:r>
      <w:proofErr w:type="spellEnd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Nunes,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o significado da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hipossuficiência do texto do preceito normativo do CDC não é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econômico, mas sim o técnico.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Deve essa hipossuficiência ser entendida como o desconhecimento,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pelo consumidor, das questões técnicas que envolvem a construção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de um edifício, de exclusivo domínio da ré.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lastRenderedPageBreak/>
        <w:t>Com efeito, o disposto no art. 6º, VIII, do Código de Defesa do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Consumidor, tem a força suficiente para afastar a incidência das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normas do Código de Processo Civil (</w:t>
      </w:r>
      <w:proofErr w:type="spellStart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arts</w:t>
      </w:r>
      <w:proofErr w:type="spellEnd"/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. 95 e 373, I) em matéria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relacionada ao ônus probatório.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Por outro lado,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não há como viabilizar o princípio contido no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referido dispositivo sem vinculá-lo ao pagamento das despesas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periciais, pois invertido o ônus processual incumbirá à parte atingida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por seus efeitos, a produção da prova.</w:t>
      </w:r>
    </w:p>
    <w:p w:rsidR="00B937C4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000000"/>
          <w:sz w:val="24"/>
          <w:szCs w:val="24"/>
        </w:rPr>
      </w:pPr>
    </w:p>
    <w:p w:rsidR="004B2F7F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eastAsia="ArialMT" w:hAnsi="Arial" w:cs="Arial"/>
          <w:i/>
          <w:iCs/>
          <w:color w:val="000000"/>
          <w:sz w:val="24"/>
          <w:szCs w:val="24"/>
        </w:rPr>
        <w:t>Neste sentido:</w:t>
      </w:r>
    </w:p>
    <w:p w:rsidR="00B937C4" w:rsidRPr="00FF22C0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000000"/>
          <w:sz w:val="24"/>
          <w:szCs w:val="24"/>
        </w:rPr>
      </w:pPr>
    </w:p>
    <w:p w:rsidR="004B2F7F" w:rsidRPr="00FF22C0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F22C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Tribunal de Justiça do Estado de São Paulo.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“Prova – Perícia –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Determinação de inversão do ônus da prova e depósito dos honorários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periciais pelo banco-agravante – Caracterização de relação de consumo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no contrato bancário – Hipótese em que a viabilização do princípio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contido no art. 6°, VIII, do Código de Defesa do Consumidor importa na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sua vinculação ao pagamento das despesas periciais – Recurso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improvido” (Agravo de Instrumento 990101247968 – Rel. J. B. Franco de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Godoi – Comarca: Votuporanga – Órgão julgador: 23ª Câmara de Direito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Privado – Data do julgamento: 04.08.2010 – Data de registro:</w:t>
      </w:r>
      <w:r w:rsidR="00E56E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F22C0">
        <w:rPr>
          <w:rFonts w:ascii="Arial" w:hAnsi="Arial" w:cs="Arial"/>
          <w:i/>
          <w:iCs/>
          <w:color w:val="000000"/>
          <w:sz w:val="24"/>
          <w:szCs w:val="24"/>
        </w:rPr>
        <w:t>18.08.2010).</w:t>
      </w:r>
    </w:p>
    <w:p w:rsidR="004B2F7F" w:rsidRPr="00E56EFB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E56EFB">
        <w:rPr>
          <w:rFonts w:ascii="Arial" w:eastAsia="ArialMT" w:hAnsi="Arial" w:cs="Arial"/>
          <w:iCs/>
          <w:color w:val="000000"/>
          <w:sz w:val="24"/>
          <w:szCs w:val="24"/>
        </w:rPr>
        <w:t>Aliás, o princípio da carga dinâmica das provas foi expressamente</w:t>
      </w:r>
      <w:r w:rsidR="00E56EFB" w:rsidRPr="00E56EFB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E56EFB">
        <w:rPr>
          <w:rFonts w:ascii="Arial" w:eastAsia="ArialMT" w:hAnsi="Arial" w:cs="Arial"/>
          <w:iCs/>
          <w:color w:val="000000"/>
          <w:sz w:val="24"/>
          <w:szCs w:val="24"/>
        </w:rPr>
        <w:t>admitida</w:t>
      </w:r>
      <w:proofErr w:type="gramEnd"/>
      <w:r w:rsidRPr="00E56EFB">
        <w:rPr>
          <w:rFonts w:ascii="Arial" w:eastAsia="ArialMT" w:hAnsi="Arial" w:cs="Arial"/>
          <w:iCs/>
          <w:color w:val="000000"/>
          <w:sz w:val="24"/>
          <w:szCs w:val="24"/>
        </w:rPr>
        <w:t xml:space="preserve"> pelo vigente Código de Processo Civil, o que se infere do §</w:t>
      </w:r>
      <w:r w:rsidR="00E56EFB" w:rsidRPr="00E56EFB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E56EFB">
        <w:rPr>
          <w:rFonts w:ascii="Arial" w:eastAsia="ArialMT" w:hAnsi="Arial" w:cs="Arial"/>
          <w:iCs/>
          <w:color w:val="000000"/>
          <w:sz w:val="24"/>
          <w:szCs w:val="24"/>
        </w:rPr>
        <w:t>1º do art. 373:</w:t>
      </w:r>
      <w:r w:rsidR="00E56EFB" w:rsidRPr="00E56EFB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</w:p>
    <w:p w:rsidR="004B2F7F" w:rsidRPr="00E56EFB" w:rsidRDefault="004B2F7F" w:rsidP="00E56EFB">
      <w:pPr>
        <w:autoSpaceDE w:val="0"/>
        <w:autoSpaceDN w:val="0"/>
        <w:adjustRightInd w:val="0"/>
        <w:spacing w:before="120" w:after="120" w:line="360" w:lineRule="auto"/>
        <w:ind w:left="226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56EFB">
        <w:rPr>
          <w:rFonts w:ascii="Arial" w:hAnsi="Arial" w:cs="Arial"/>
          <w:iCs/>
          <w:color w:val="000000"/>
          <w:sz w:val="24"/>
          <w:szCs w:val="24"/>
        </w:rPr>
        <w:t>“§ 1º Nos casos previstos em lei ou diante de peculiaridades da causa</w:t>
      </w:r>
      <w:r w:rsidR="00E56EF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56EFB">
        <w:rPr>
          <w:rFonts w:ascii="Arial" w:hAnsi="Arial" w:cs="Arial"/>
          <w:iCs/>
          <w:color w:val="000000"/>
          <w:sz w:val="24"/>
          <w:szCs w:val="24"/>
        </w:rPr>
        <w:t>relacionadas à impossibilidade ou à excessiva dificuldade de cumprir o</w:t>
      </w:r>
      <w:r w:rsidR="00E56EF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56EFB">
        <w:rPr>
          <w:rFonts w:ascii="Arial" w:hAnsi="Arial" w:cs="Arial"/>
          <w:iCs/>
          <w:color w:val="000000"/>
          <w:sz w:val="24"/>
          <w:szCs w:val="24"/>
        </w:rPr>
        <w:t>encargo nos termos do caput ou à maior facilidade de obtenção da prova</w:t>
      </w:r>
      <w:r w:rsidR="00E56EF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56EFB">
        <w:rPr>
          <w:rFonts w:ascii="Arial" w:hAnsi="Arial" w:cs="Arial"/>
          <w:iCs/>
          <w:color w:val="000000"/>
          <w:sz w:val="24"/>
          <w:szCs w:val="24"/>
        </w:rPr>
        <w:t>do fato contrário, poderá o juiz atribuir o ônus da prova de modo diverso,</w:t>
      </w:r>
      <w:r w:rsidR="00E56EF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56EFB">
        <w:rPr>
          <w:rFonts w:ascii="Arial" w:hAnsi="Arial" w:cs="Arial"/>
          <w:iCs/>
          <w:color w:val="000000"/>
          <w:sz w:val="24"/>
          <w:szCs w:val="24"/>
        </w:rPr>
        <w:t>desde que o faça por decisão fundamentada, caso em que deverá dar à</w:t>
      </w:r>
      <w:r w:rsidR="00E56EF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E56EFB">
        <w:rPr>
          <w:rFonts w:ascii="Arial" w:hAnsi="Arial" w:cs="Arial"/>
          <w:iCs/>
          <w:color w:val="000000"/>
          <w:sz w:val="24"/>
          <w:szCs w:val="24"/>
        </w:rPr>
        <w:t>parte a oportunidade de se desincumbir do ônus que lhe foi atribuído.”</w:t>
      </w:r>
    </w:p>
    <w:p w:rsidR="00B937C4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Típica aplicação do vertente dispositivo é a situação ora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apresentada, na qual a prova deve ser levada a efeito pela ré,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construtora do empreendimento que se reputa defeituoso e viciado.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Logo, é mister a inversão do ônus da prova, requerendo-se desde já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que, em razão dela, a ré pague os honorários periciais.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4A7BCE">
        <w:rPr>
          <w:rFonts w:ascii="Arial" w:hAnsi="Arial" w:cs="Arial"/>
          <w:b/>
          <w:bCs/>
          <w:iCs/>
          <w:color w:val="000000"/>
          <w:sz w:val="24"/>
          <w:szCs w:val="24"/>
        </w:rPr>
        <w:t>V – Pedidos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Com fundamento nos argumentos de fato e de direito trazidos à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colação, requer o autor:</w:t>
      </w:r>
    </w:p>
    <w:p w:rsidR="00B937C4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a) em regime de urgência, a antecipação cautelar dos efeitos da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tutela pretendida para a produção antecipada de prova pericial a ser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custeada pela ré, em razão da necessária inversão do ônus, a fim de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que seja apurado, primeiramente, o péssimo estado geral do edifício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no autor asilado e, notadamente, das suas áreas comuns, suas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características e componentes e, depois, para apurar a ausência de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itens que deveriam ter sido pela ré entregues com a área comum, 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inviabilizar a plena utilização do prédio segundo a destinação habitual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para a qual o mesmo foi edificado, dado a conjugação do relatório de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inspeção predial copiado em anexo (doc. 10) com, de um lado, 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existência de riscos contra a saúde e a segurança dos condôminos e,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de outro lado,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de riscos de deterioração precoce da edificação, de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segurança à funcionalidade, de desperdícios e de desvalorização da</w:t>
      </w:r>
      <w:r w:rsidR="00B937C4" w:rsidRPr="004A7BCE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mesma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, observados 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 xml:space="preserve">os </w:t>
      </w:r>
      <w:proofErr w:type="spellStart"/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arts</w:t>
      </w:r>
      <w:proofErr w:type="spellEnd"/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. 297 e 300, do Código de Processo Civil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;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b) ao final, seja a presente ação julgada totalmente procedente para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tornar definitiva a antecipação de tutela que se espera seja irrogada,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bem como a condenação da ré ao pagamento ao autor, em sede de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perdas e danos, de valor equivalente à correção e finalização das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obras, inclusive dos defeitos existentes e que venham a ser apurados,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além do valor correspondente aos produtos inerentes às áreas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comuns em função de suas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lastRenderedPageBreak/>
        <w:t>características e componentes que se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empenhou no material de comercialização das unidades autônomas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(doc. 3) e, mais do que isto, no memorial descritivo (doc. 7) ou, o que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também aguarda seja pericialmente apurado;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c) a condenação da ré nas custas, honorários de advogado, juros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legais moratórios desde a citação inicial, com relação às condenação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pleiteadas a título de dano material (art. 405, do Código Civil), juros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legais moratórios desde a prática do ato, com relação à condenação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pleiteada a título de danos morais, correção monetária de todos os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valores a serem apurados de acordo com a tabela prática para cálculo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de atualização monetária dos débitos judiciais do Tribunal de Justiça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do Estado de São Paulo e demais despesas inerentes do presente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feito, nos termos do 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art. 85, do Código de Processo Civil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.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4A7BCE">
        <w:rPr>
          <w:rFonts w:ascii="Arial" w:hAnsi="Arial" w:cs="Arial"/>
          <w:b/>
          <w:bCs/>
          <w:iCs/>
          <w:color w:val="000000"/>
          <w:sz w:val="24"/>
          <w:szCs w:val="24"/>
        </w:rPr>
        <w:t>VI – Citação e intimação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Tratando-se a ré de pessoa jurídica, requer-se que a citação seja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efetuada por intermédio do sistema de cadastro de processos em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autos eletrônicos nos termos do art. 246, § 1º do Código de Processo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Civil ou, caso a ré não conte com o cadastro obrigatório, que seja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citada pelo correio nos termos dos </w:t>
      </w:r>
      <w:proofErr w:type="spellStart"/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arts</w:t>
      </w:r>
      <w:proofErr w:type="spellEnd"/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. 246, I; 247 e 248 do Códig</w:t>
      </w:r>
      <w:r w:rsidR="00D42EA1"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o d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e Processo Civil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para acatar a determinação e a eventual cominação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que se espera sejam irrogadas, ambas, nos exatos termos da alínea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“a”,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supra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, e para que também, ao depois e querendo, responda no</w:t>
      </w:r>
      <w:r w:rsidR="00D42EA1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prazo de 15 (quinze) dias (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art. 335 do Código de Processo Civil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), sob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pena de serem tidos por verdadeiros todos os fatos aqui alegados (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art.</w:t>
      </w:r>
      <w:r w:rsidR="00B937C4"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 xml:space="preserve"> 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344 do Código de Processo Civil)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, devendo o respectivo mandado à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citanda conter as finalidades da citação, as respectivas determinações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e cominações, bem como a cópia do despacho do(a) MM. Juiz(a),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comunicando, ainda, o prazo para resposta, o juízo e o cartório, com 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respectivo endereço.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4A7BCE"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VII – Audiência de Conciliação</w:t>
      </w:r>
    </w:p>
    <w:p w:rsidR="00B937C4" w:rsidRPr="004A7BCE" w:rsidRDefault="00B937C4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Nos termos do 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art. 334, § 5º, do Código de Processo Civil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, o autor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desde já manifesta, pela natureza do litígio, desinteresse em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autocomposição.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Ou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Tendo em vista a natureza do direito e demonstrando espírito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conciliador, a par das inúmeras tentativas de resolver amigavelmente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a questão, o autor desde já, nos termos do 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art. 334 do Código de</w:t>
      </w:r>
      <w:r w:rsidR="00B937C4"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 xml:space="preserve"> 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Processo Civil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, manifesta interesse em autocomposição, aguardando</w:t>
      </w:r>
      <w:r w:rsidR="00B937C4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 designação de audiência de conciliação.</w:t>
      </w:r>
    </w:p>
    <w:p w:rsidR="00B87463" w:rsidRPr="004A7BCE" w:rsidRDefault="00B87463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4A7BCE">
        <w:rPr>
          <w:rFonts w:ascii="Arial" w:hAnsi="Arial" w:cs="Arial"/>
          <w:b/>
          <w:bCs/>
          <w:iCs/>
          <w:color w:val="000000"/>
          <w:sz w:val="24"/>
          <w:szCs w:val="24"/>
        </w:rPr>
        <w:t>VIII – Provas</w:t>
      </w:r>
    </w:p>
    <w:p w:rsidR="00B87463" w:rsidRPr="004A7BCE" w:rsidRDefault="00B87463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Requer-se provar o alegado por todos os meios de prova em direito</w:t>
      </w:r>
      <w:r w:rsidR="00B87463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admitidos, incluindo perícia, produção de prova documental,</w:t>
      </w:r>
      <w:r w:rsidR="00B87463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testemunhal, inspeção judicial, depoimento pessoal sob pena de</w:t>
      </w:r>
      <w:r w:rsidR="00B87463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confissão caso o réu (ou seu representante) não compareça, ou,</w:t>
      </w:r>
      <w:r w:rsidR="00B87463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comparecendo, se negue a depor (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art. 385, § 1º, do Código de</w:t>
      </w:r>
      <w:r w:rsidR="00B87463"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 xml:space="preserve"> </w:t>
      </w:r>
      <w:r w:rsidRPr="00D42EA1">
        <w:rPr>
          <w:rFonts w:ascii="Arial" w:eastAsia="ArialMT" w:hAnsi="Arial" w:cs="Arial"/>
          <w:b/>
          <w:iCs/>
          <w:color w:val="000000"/>
          <w:sz w:val="24"/>
          <w:szCs w:val="24"/>
        </w:rPr>
        <w:t>Processo Civil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).</w:t>
      </w: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Requer, outrossim, nos termos da fundamentação contida no item IV,</w:t>
      </w:r>
      <w:r w:rsidR="00B87463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hAnsi="Arial" w:cs="Arial"/>
          <w:iCs/>
          <w:color w:val="000000"/>
          <w:sz w:val="24"/>
          <w:szCs w:val="24"/>
        </w:rPr>
        <w:t>supra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, a inversão do ônus da prova.</w:t>
      </w:r>
    </w:p>
    <w:p w:rsidR="00B87463" w:rsidRPr="004A7BCE" w:rsidRDefault="00B87463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4A7BCE">
        <w:rPr>
          <w:rFonts w:ascii="Arial" w:hAnsi="Arial" w:cs="Arial"/>
          <w:b/>
          <w:bCs/>
          <w:iCs/>
          <w:color w:val="000000"/>
          <w:sz w:val="24"/>
          <w:szCs w:val="24"/>
        </w:rPr>
        <w:t>IX – Valor da causa</w:t>
      </w:r>
    </w:p>
    <w:p w:rsidR="00B87463" w:rsidRPr="004A7BCE" w:rsidRDefault="00B87463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B2F7F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Dá-se à causa o valor de R$ (...), apenas para efeitos legais (v., a</w:t>
      </w:r>
      <w:r w:rsidR="00B87463" w:rsidRPr="004A7BCE">
        <w:rPr>
          <w:rFonts w:ascii="Arial" w:eastAsia="ArialMT" w:hAnsi="Arial" w:cs="Arial"/>
          <w:iCs/>
          <w:color w:val="000000"/>
          <w:sz w:val="24"/>
          <w:szCs w:val="24"/>
        </w:rPr>
        <w:t xml:space="preserve"> </w:t>
      </w: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respeito, a guia recolhida, em apenso).</w:t>
      </w:r>
    </w:p>
    <w:p w:rsidR="00B87463" w:rsidRPr="004A7BCE" w:rsidRDefault="00B87463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Default="004A7BCE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>
        <w:rPr>
          <w:rFonts w:ascii="Arial" w:eastAsia="ArialMT" w:hAnsi="Arial" w:cs="Arial"/>
          <w:iCs/>
          <w:color w:val="000000"/>
          <w:sz w:val="24"/>
          <w:szCs w:val="24"/>
        </w:rPr>
        <w:t xml:space="preserve">Termos em que </w:t>
      </w:r>
      <w:r w:rsidR="004B2F7F" w:rsidRPr="004A7BCE">
        <w:rPr>
          <w:rFonts w:ascii="Arial" w:eastAsia="ArialMT" w:hAnsi="Arial" w:cs="Arial"/>
          <w:iCs/>
          <w:color w:val="000000"/>
          <w:sz w:val="24"/>
          <w:szCs w:val="24"/>
        </w:rPr>
        <w:t>pede deferimento</w:t>
      </w:r>
    </w:p>
    <w:p w:rsidR="004A7BCE" w:rsidRPr="004A7BCE" w:rsidRDefault="004A7BCE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A7BCE" w:rsidP="00A149C2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>
        <w:rPr>
          <w:rFonts w:ascii="Arial" w:eastAsia="ArialMT" w:hAnsi="Arial" w:cs="Arial"/>
          <w:iCs/>
          <w:color w:val="000000"/>
          <w:sz w:val="24"/>
          <w:szCs w:val="24"/>
        </w:rPr>
        <w:lastRenderedPageBreak/>
        <w:t xml:space="preserve">Local, </w:t>
      </w:r>
      <w:r w:rsidR="004B2F7F" w:rsidRPr="004A7BCE">
        <w:rPr>
          <w:rFonts w:ascii="Arial" w:eastAsia="ArialMT" w:hAnsi="Arial" w:cs="Arial"/>
          <w:iCs/>
          <w:color w:val="000000"/>
          <w:sz w:val="24"/>
          <w:szCs w:val="24"/>
        </w:rPr>
        <w:t>Data</w:t>
      </w:r>
    </w:p>
    <w:p w:rsidR="00FF22C0" w:rsidRPr="004A7BCE" w:rsidRDefault="004B2F7F" w:rsidP="00A149C2">
      <w:pPr>
        <w:spacing w:before="120" w:after="12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Advogado (OAB)</w:t>
      </w:r>
    </w:p>
    <w:sectPr w:rsidR="00FF22C0" w:rsidRPr="004A7BCE" w:rsidSect="001E1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CF" w:rsidRDefault="000451CF" w:rsidP="000A2DC0">
      <w:pPr>
        <w:spacing w:after="0" w:line="240" w:lineRule="auto"/>
      </w:pPr>
      <w:r>
        <w:separator/>
      </w:r>
    </w:p>
  </w:endnote>
  <w:endnote w:type="continuationSeparator" w:id="0">
    <w:p w:rsidR="000451CF" w:rsidRDefault="000451CF" w:rsidP="000A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C0" w:rsidRDefault="000A2D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C0" w:rsidRDefault="000A2DC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C0" w:rsidRDefault="000A2D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CF" w:rsidRDefault="000451CF" w:rsidP="000A2DC0">
      <w:pPr>
        <w:spacing w:after="0" w:line="240" w:lineRule="auto"/>
      </w:pPr>
      <w:r>
        <w:separator/>
      </w:r>
    </w:p>
  </w:footnote>
  <w:footnote w:type="continuationSeparator" w:id="0">
    <w:p w:rsidR="000451CF" w:rsidRDefault="000451CF" w:rsidP="000A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C0" w:rsidRDefault="000A2D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8846" o:spid="_x0000_s2050" type="#_x0000_t75" style="position:absolute;margin-left:0;margin-top:0;width:424.75pt;height:89.65pt;z-index:-251657216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C0" w:rsidRDefault="000A2D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8847" o:spid="_x0000_s2051" type="#_x0000_t75" style="position:absolute;margin-left:0;margin-top:0;width:424.75pt;height:89.65pt;z-index:-251656192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C0" w:rsidRDefault="000A2D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8845" o:spid="_x0000_s2049" type="#_x0000_t75" style="position:absolute;margin-left:0;margin-top:0;width:424.75pt;height:89.65pt;z-index:-251658240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A8"/>
    <w:rsid w:val="00034375"/>
    <w:rsid w:val="000451CF"/>
    <w:rsid w:val="000A2DC0"/>
    <w:rsid w:val="001E193F"/>
    <w:rsid w:val="001E4499"/>
    <w:rsid w:val="00237CEC"/>
    <w:rsid w:val="002C43A8"/>
    <w:rsid w:val="004A7BCE"/>
    <w:rsid w:val="004B2F7F"/>
    <w:rsid w:val="00650D70"/>
    <w:rsid w:val="007E716B"/>
    <w:rsid w:val="00832EC0"/>
    <w:rsid w:val="00923A59"/>
    <w:rsid w:val="00A149C2"/>
    <w:rsid w:val="00A44A38"/>
    <w:rsid w:val="00B87463"/>
    <w:rsid w:val="00B937C4"/>
    <w:rsid w:val="00C06E19"/>
    <w:rsid w:val="00D42EA1"/>
    <w:rsid w:val="00E56EFB"/>
    <w:rsid w:val="00EE000E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00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2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DC0"/>
  </w:style>
  <w:style w:type="paragraph" w:styleId="Rodap">
    <w:name w:val="footer"/>
    <w:basedOn w:val="Normal"/>
    <w:link w:val="RodapChar"/>
    <w:uiPriority w:val="99"/>
    <w:unhideWhenUsed/>
    <w:rsid w:val="000A2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E235-887A-47F4-A949-F9C16517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5227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2016-05-24T03:03:00Z</dcterms:created>
  <dcterms:modified xsi:type="dcterms:W3CDTF">2020-12-04T19:31:00Z</dcterms:modified>
</cp:coreProperties>
</file>