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868" w:rsidRPr="00B0353A" w:rsidRDefault="00201868">
      <w:pPr>
        <w:pStyle w:val="Default"/>
        <w:jc w:val="both"/>
        <w:rPr>
          <w:rFonts w:ascii="Arial" w:hAnsi="Arial" w:cs="Arial"/>
        </w:rPr>
      </w:pPr>
      <w:bookmarkStart w:id="0" w:name="_GoBack"/>
      <w:bookmarkEnd w:id="0"/>
    </w:p>
    <w:p w:rsidR="00201868" w:rsidRPr="00B0353A" w:rsidRDefault="00680469">
      <w:pPr>
        <w:pStyle w:val="Default"/>
        <w:jc w:val="both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AO JUÍZO</w:t>
      </w:r>
      <w:r w:rsidR="003A0CA1" w:rsidRPr="00B0353A">
        <w:rPr>
          <w:rFonts w:ascii="Arial" w:hAnsi="Arial" w:cs="Arial"/>
          <w:b/>
          <w:bCs/>
          <w:sz w:val="26"/>
          <w:szCs w:val="26"/>
        </w:rPr>
        <w:t xml:space="preserve"> FEDERAL DA </w:t>
      </w:r>
      <w:proofErr w:type="spellStart"/>
      <w:r w:rsidR="003A0CA1" w:rsidRPr="00B0353A">
        <w:rPr>
          <w:rFonts w:ascii="Arial" w:hAnsi="Arial" w:cs="Arial"/>
          <w:b/>
          <w:bCs/>
          <w:sz w:val="26"/>
          <w:szCs w:val="26"/>
        </w:rPr>
        <w:t>XXª</w:t>
      </w:r>
      <w:proofErr w:type="spellEnd"/>
      <w:r w:rsidR="003A0CA1" w:rsidRPr="00B0353A">
        <w:rPr>
          <w:rFonts w:ascii="Arial" w:hAnsi="Arial" w:cs="Arial"/>
          <w:b/>
          <w:bCs/>
          <w:sz w:val="26"/>
          <w:szCs w:val="26"/>
        </w:rPr>
        <w:t xml:space="preserve"> VARA FEDERAL </w:t>
      </w:r>
      <w:r w:rsidR="003A0CA1" w:rsidRPr="00B0353A">
        <w:rPr>
          <w:rFonts w:ascii="Arial" w:hAnsi="Arial" w:cs="Arial"/>
          <w:b/>
          <w:bCs/>
          <w:color w:val="FF0000"/>
          <w:sz w:val="26"/>
          <w:szCs w:val="26"/>
        </w:rPr>
        <w:t xml:space="preserve">OU JUIZADO ESPECIAL FEDERAL </w:t>
      </w:r>
      <w:r w:rsidR="003A0CA1" w:rsidRPr="00B0353A">
        <w:rPr>
          <w:rFonts w:ascii="Arial" w:hAnsi="Arial" w:cs="Arial"/>
          <w:b/>
          <w:bCs/>
          <w:sz w:val="26"/>
          <w:szCs w:val="26"/>
        </w:rPr>
        <w:t xml:space="preserve">DE XXXXXX, SEÇÃO JUDICIÁRIA DOXXXXX TRF X </w:t>
      </w:r>
      <w:proofErr w:type="gramStart"/>
      <w:r w:rsidR="003A0CA1" w:rsidRPr="00B0353A">
        <w:rPr>
          <w:rFonts w:ascii="Arial" w:hAnsi="Arial" w:cs="Arial"/>
          <w:b/>
          <w:bCs/>
          <w:sz w:val="26"/>
          <w:szCs w:val="26"/>
        </w:rPr>
        <w:t>REGIÃO</w:t>
      </w:r>
      <w:proofErr w:type="gramEnd"/>
    </w:p>
    <w:p w:rsidR="00201868" w:rsidRPr="00B0353A" w:rsidRDefault="00201868">
      <w:pPr>
        <w:pStyle w:val="Default"/>
        <w:rPr>
          <w:rFonts w:ascii="Arial" w:hAnsi="Arial" w:cs="Arial"/>
          <w:b/>
          <w:bCs/>
          <w:sz w:val="26"/>
          <w:szCs w:val="26"/>
        </w:rPr>
      </w:pPr>
    </w:p>
    <w:p w:rsidR="00201868" w:rsidRPr="00B0353A" w:rsidRDefault="00201868">
      <w:pPr>
        <w:pStyle w:val="Default"/>
        <w:rPr>
          <w:rFonts w:ascii="Arial" w:hAnsi="Arial" w:cs="Arial"/>
          <w:b/>
          <w:bCs/>
          <w:sz w:val="26"/>
          <w:szCs w:val="26"/>
        </w:rPr>
      </w:pPr>
    </w:p>
    <w:p w:rsidR="00201868" w:rsidRPr="00B0353A" w:rsidRDefault="003A0CA1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B0353A">
        <w:rPr>
          <w:rFonts w:ascii="Arial" w:hAnsi="Arial" w:cs="Arial"/>
          <w:color w:val="auto"/>
          <w:sz w:val="22"/>
          <w:szCs w:val="22"/>
        </w:rPr>
        <w:t>Processo: XXXXXXXXXXXXXX</w:t>
      </w:r>
    </w:p>
    <w:p w:rsidR="00201868" w:rsidRPr="00B0353A" w:rsidRDefault="00201868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201868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201868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201868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201868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201868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201868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201868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3A0CA1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  <w:r w:rsidRPr="00B0353A">
        <w:rPr>
          <w:rFonts w:ascii="Arial" w:hAnsi="Arial" w:cs="Arial"/>
          <w:color w:val="auto"/>
          <w:sz w:val="22"/>
          <w:szCs w:val="22"/>
        </w:rPr>
        <w:t xml:space="preserve"> XXXXXXXXXXX, já qualificado no processo eletrônico em epígrafe, vem perante Vossa Excelência, por meio de seu advogado, IMPUGNAR a contestação apresentada pela digna Procuradoria Federal, fortes fundamentos de fato e de direito adiante esposados. </w:t>
      </w: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sz w:val="26"/>
          <w:szCs w:val="26"/>
        </w:rPr>
      </w:pP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sz w:val="26"/>
          <w:szCs w:val="26"/>
        </w:rPr>
      </w:pP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sz w:val="26"/>
          <w:szCs w:val="26"/>
        </w:rPr>
      </w:pPr>
    </w:p>
    <w:p w:rsidR="00201868" w:rsidRPr="00B0353A" w:rsidRDefault="003A0CA1">
      <w:pPr>
        <w:pStyle w:val="Default"/>
        <w:numPr>
          <w:ilvl w:val="0"/>
          <w:numId w:val="1"/>
        </w:numPr>
        <w:rPr>
          <w:rFonts w:ascii="Arial" w:hAnsi="Arial" w:cs="Arial"/>
          <w:b/>
          <w:bCs/>
          <w:sz w:val="26"/>
          <w:szCs w:val="26"/>
          <w:u w:val="single"/>
        </w:rPr>
      </w:pPr>
      <w:r w:rsidRPr="00B0353A">
        <w:rPr>
          <w:rFonts w:ascii="Arial" w:hAnsi="Arial" w:cs="Arial"/>
          <w:b/>
          <w:bCs/>
          <w:sz w:val="26"/>
          <w:szCs w:val="26"/>
          <w:u w:val="single"/>
        </w:rPr>
        <w:t xml:space="preserve">Da contestação </w:t>
      </w:r>
    </w:p>
    <w:p w:rsidR="00201868" w:rsidRPr="00B0353A" w:rsidRDefault="00201868">
      <w:pPr>
        <w:pStyle w:val="Default"/>
        <w:rPr>
          <w:rFonts w:ascii="Arial" w:hAnsi="Arial" w:cs="Arial"/>
          <w:sz w:val="26"/>
          <w:szCs w:val="26"/>
        </w:rPr>
      </w:pPr>
    </w:p>
    <w:p w:rsidR="00201868" w:rsidRPr="00B0353A" w:rsidRDefault="00201868">
      <w:pPr>
        <w:pStyle w:val="Default"/>
        <w:rPr>
          <w:rFonts w:ascii="Arial" w:hAnsi="Arial" w:cs="Arial"/>
          <w:sz w:val="26"/>
          <w:szCs w:val="26"/>
        </w:rPr>
      </w:pPr>
    </w:p>
    <w:p w:rsidR="00201868" w:rsidRPr="00B0353A" w:rsidRDefault="003A0CA1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  <w:r w:rsidRPr="00B0353A">
        <w:rPr>
          <w:rFonts w:ascii="Arial" w:hAnsi="Arial" w:cs="Arial"/>
          <w:color w:val="auto"/>
          <w:sz w:val="22"/>
          <w:szCs w:val="22"/>
        </w:rPr>
        <w:t xml:space="preserve">A Procuradoria Federal visa à sustentação de sua defesa, induzindo que em todos os casos, em vigência harmônica do Art. 3º, caput da Lei 9.876/99 e do Art. 29, I e II da Lei de Benefícios induziria desconsideração das remunerações anteriores a julho de 1994. </w:t>
      </w: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3A0CA1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  <w:r w:rsidRPr="00B0353A">
        <w:rPr>
          <w:rFonts w:ascii="Arial" w:hAnsi="Arial" w:cs="Arial"/>
          <w:color w:val="auto"/>
          <w:sz w:val="22"/>
          <w:szCs w:val="22"/>
        </w:rPr>
        <w:t xml:space="preserve">Ocorre que o Art. 29, I e II – que é a norma que de fato constitui objeto da reforma previdenciária na perspectiva da definição do valor do salário-de-benefício, no Plano de Benefícios propriamente dito, no capítulo relativo ao Valor do Benefício, que, portanto, disciplina a matéria por excelência – não se refere à data de ingresso do segurado no Regime Geral de Previdência Social, não restringindo sua incidência para segurados ingressantes após sua vigência. </w:t>
      </w: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3A0CA1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  <w:r w:rsidRPr="00B0353A">
        <w:rPr>
          <w:rFonts w:ascii="Arial" w:hAnsi="Arial" w:cs="Arial"/>
          <w:color w:val="auto"/>
          <w:sz w:val="22"/>
          <w:szCs w:val="22"/>
        </w:rPr>
        <w:t xml:space="preserve">Como trata de valor de benefício, e não de regime jurídico ou de tutela do trabalho, o dispositivo tem vigência – assim como também tem vigência o Art. 3º, caput da Lei 9.876/99 – sobre os benefícios concedidos após 29/11/1999. </w:t>
      </w: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3A0CA1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  <w:r w:rsidRPr="00B0353A">
        <w:rPr>
          <w:rFonts w:ascii="Arial" w:hAnsi="Arial" w:cs="Arial"/>
          <w:color w:val="auto"/>
          <w:sz w:val="22"/>
          <w:szCs w:val="22"/>
        </w:rPr>
        <w:t xml:space="preserve">Como a lei anterior servia-se apenas de trinta e seis contribuições na composição do período básico de cálculo, criou-se tal regra (a transitória, de período básico de cálculo mais curto, desde 1994), buscando evitar prejuízos maiores para segurados com históricos contributivos irregulares, evitando-se efeitos impopulares da reforma. </w:t>
      </w: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3A0CA1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  <w:r w:rsidRPr="00B0353A">
        <w:rPr>
          <w:rFonts w:ascii="Arial" w:hAnsi="Arial" w:cs="Arial"/>
          <w:color w:val="auto"/>
          <w:sz w:val="22"/>
          <w:szCs w:val="22"/>
        </w:rPr>
        <w:t xml:space="preserve">O argumento autárquico de que nem mesmo a lei revogada considerava os salários-de-contribuição anteriores a julho de 1994 também não merece consideração, pois não existe interpretação em homenagem à lei antiga: o intuito da reforma foi justamente mudar a racionalidade e passar a tornar os benefícios proporcionais com o histórico de vida das pessoas. </w:t>
      </w: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3A0CA1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  <w:r w:rsidRPr="00B0353A">
        <w:rPr>
          <w:rFonts w:ascii="Arial" w:hAnsi="Arial" w:cs="Arial"/>
          <w:color w:val="auto"/>
          <w:sz w:val="22"/>
          <w:szCs w:val="22"/>
        </w:rPr>
        <w:lastRenderedPageBreak/>
        <w:t xml:space="preserve">Nessa perspectiva, o princípio do equilíbrio atuarial não implica necessariamente um retrocesso para todos os trabalhadores – tendo em vista os efeitos do fator previdenciário, inserido pela mesma lei, mas traz benefício, na justamente na composição do período básico de cálculo, se empreendido adequadamente, utilizando-se todo o período contributivo ou apenas as remunerações posteriores a julho de 1994, prevalecendo o cálculo mais vantajoso. </w:t>
      </w:r>
    </w:p>
    <w:p w:rsidR="00201868" w:rsidRPr="00B0353A" w:rsidRDefault="003A0CA1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  <w:r w:rsidRPr="00B0353A">
        <w:rPr>
          <w:rFonts w:ascii="Arial" w:hAnsi="Arial" w:cs="Arial"/>
          <w:color w:val="auto"/>
          <w:sz w:val="22"/>
          <w:szCs w:val="22"/>
        </w:rPr>
        <w:t>Isso beneficia as pessoas que passaram décadas contribuindo sobre valores importantes, garantindo solidariamente a existência e a solvabilidade do Regime Geral de Previdência Social, mas que hoje percebem benefícios desproporcionais e inteligentemente desconectados daquelas contribuições.</w:t>
      </w: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3A0CA1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  <w:r w:rsidRPr="00B0353A">
        <w:rPr>
          <w:rFonts w:ascii="Arial" w:hAnsi="Arial" w:cs="Arial"/>
          <w:color w:val="auto"/>
          <w:sz w:val="22"/>
          <w:szCs w:val="22"/>
        </w:rPr>
        <w:t xml:space="preserve">Nem o raciocínio da inexistência de contrapartida </w:t>
      </w:r>
      <w:proofErr w:type="spellStart"/>
      <w:r w:rsidRPr="00B0353A">
        <w:rPr>
          <w:rFonts w:ascii="Arial" w:hAnsi="Arial" w:cs="Arial"/>
          <w:color w:val="auto"/>
          <w:sz w:val="22"/>
          <w:szCs w:val="22"/>
        </w:rPr>
        <w:t>sinalagmática</w:t>
      </w:r>
      <w:proofErr w:type="spellEnd"/>
      <w:r w:rsidRPr="00B0353A">
        <w:rPr>
          <w:rFonts w:ascii="Arial" w:hAnsi="Arial" w:cs="Arial"/>
          <w:color w:val="auto"/>
          <w:sz w:val="22"/>
          <w:szCs w:val="22"/>
        </w:rPr>
        <w:t xml:space="preserve"> direta entre contribuições e benefício pode ser suscitado, tendo em vista justamente as normas de composição do período básico de cálculos vigentes, que se mais vantajosas devem ser utilizadas no cálculo do benefício. </w:t>
      </w: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201868">
      <w:pPr>
        <w:pStyle w:val="Default"/>
        <w:rPr>
          <w:rFonts w:ascii="Arial" w:hAnsi="Arial" w:cs="Arial"/>
          <w:sz w:val="26"/>
          <w:szCs w:val="26"/>
        </w:rPr>
      </w:pPr>
    </w:p>
    <w:p w:rsidR="00201868" w:rsidRPr="00B0353A" w:rsidRDefault="003A0CA1">
      <w:pPr>
        <w:pStyle w:val="Default"/>
        <w:rPr>
          <w:rFonts w:ascii="Arial" w:hAnsi="Arial" w:cs="Arial"/>
          <w:sz w:val="26"/>
          <w:szCs w:val="26"/>
          <w:u w:val="single"/>
        </w:rPr>
      </w:pPr>
      <w:r w:rsidRPr="00B0353A">
        <w:rPr>
          <w:rFonts w:ascii="Arial" w:hAnsi="Arial" w:cs="Arial"/>
          <w:b/>
          <w:bCs/>
          <w:sz w:val="26"/>
          <w:szCs w:val="26"/>
          <w:u w:val="single"/>
        </w:rPr>
        <w:t xml:space="preserve">2. Da impugnação </w:t>
      </w:r>
    </w:p>
    <w:p w:rsidR="00201868" w:rsidRPr="00B0353A" w:rsidRDefault="00201868">
      <w:pPr>
        <w:pStyle w:val="Default"/>
        <w:rPr>
          <w:rFonts w:ascii="Arial" w:hAnsi="Arial" w:cs="Arial"/>
          <w:sz w:val="26"/>
          <w:szCs w:val="26"/>
        </w:rPr>
      </w:pPr>
    </w:p>
    <w:p w:rsidR="00201868" w:rsidRPr="00B0353A" w:rsidRDefault="003A0CA1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  <w:r w:rsidRPr="00B0353A">
        <w:rPr>
          <w:rFonts w:ascii="Arial" w:hAnsi="Arial" w:cs="Arial"/>
          <w:color w:val="auto"/>
          <w:sz w:val="22"/>
          <w:szCs w:val="22"/>
        </w:rPr>
        <w:t xml:space="preserve">A versada Procuradoria não parece ter compreendido a estrutura do direito intertemporal pátrio que motivou </w:t>
      </w:r>
      <w:proofErr w:type="gramStart"/>
      <w:r w:rsidRPr="00B0353A">
        <w:rPr>
          <w:rFonts w:ascii="Arial" w:hAnsi="Arial" w:cs="Arial"/>
          <w:color w:val="auto"/>
          <w:sz w:val="22"/>
          <w:szCs w:val="22"/>
        </w:rPr>
        <w:t>a presente</w:t>
      </w:r>
      <w:proofErr w:type="gramEnd"/>
      <w:r w:rsidRPr="00B0353A">
        <w:rPr>
          <w:rFonts w:ascii="Arial" w:hAnsi="Arial" w:cs="Arial"/>
          <w:color w:val="auto"/>
          <w:sz w:val="22"/>
          <w:szCs w:val="22"/>
        </w:rPr>
        <w:t xml:space="preserve"> demanda, e passou ao largo da questão central em debate, que é a prevalência do benefício mais vantajoso, havendo duas formas possíveis de cálculo no caso concreto. O paralelo com as regras transitórias do Art. 9º da EC 20/98 ilustrou suficientemente isso na petição inicial. </w:t>
      </w: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3A0CA1">
      <w:pPr>
        <w:ind w:firstLine="2835"/>
        <w:jc w:val="both"/>
        <w:rPr>
          <w:rFonts w:ascii="Arial" w:hAnsi="Arial" w:cs="Arial"/>
        </w:rPr>
      </w:pPr>
      <w:r w:rsidRPr="00B0353A">
        <w:rPr>
          <w:rFonts w:ascii="Arial" w:hAnsi="Arial" w:cs="Arial"/>
        </w:rPr>
        <w:t xml:space="preserve">A alteração normativa da Lei 9.876 veio para atender à exigência da finalidade de preservação do equilíbrio financeiro e atuarial, que havia sido elevada a princípio constitucional pela Emenda 20/98, evitando que pessoas que passaram décadas contribuindo sobre valores baixos pudessem passar a pagar sobre o teto, na condição de empregados, poucos anos antes da aposentadoria. Tanto que tal fato – esse aumento repentino – era regrado pelo Art. 29, §4º e antes disso pela norma congênere da CLPS. </w:t>
      </w:r>
    </w:p>
    <w:p w:rsidR="00201868" w:rsidRPr="00B0353A" w:rsidRDefault="003A0CA1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  <w:r w:rsidRPr="00B0353A">
        <w:rPr>
          <w:rFonts w:ascii="Arial" w:hAnsi="Arial" w:cs="Arial"/>
          <w:color w:val="auto"/>
          <w:sz w:val="22"/>
          <w:szCs w:val="22"/>
        </w:rPr>
        <w:t xml:space="preserve">Vige então a regra transitória, com fim de protegê-los da abrupta mudança de paradigma, garantindo-se a incidência apenas das contribuições posteriores ao Plano Real. </w:t>
      </w: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3A0CA1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  <w:r w:rsidRPr="00B0353A">
        <w:rPr>
          <w:rFonts w:ascii="Arial" w:hAnsi="Arial" w:cs="Arial"/>
          <w:color w:val="auto"/>
          <w:sz w:val="22"/>
          <w:szCs w:val="22"/>
        </w:rPr>
        <w:t xml:space="preserve">Ocorre que isso não beneficiou a todos, sobremaneira aqueles que passaram a vida toda contribuindo sobre valores elevados, para quem o princípio do equilíbrio financeiro e atuarial se apresenta, em verdade, como corolário da proteção e da solidariedade sociais previdenciárias, expressadas no princípio da contrapartida, tendo em vista o caráter híbrido do nosso regime de solidariedade, no qual pouco resta da repartição simples antes estruturada por Otto Von Bismarck. </w:t>
      </w: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3A0CA1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  <w:r w:rsidRPr="00B0353A">
        <w:rPr>
          <w:rFonts w:ascii="Arial" w:hAnsi="Arial" w:cs="Arial"/>
          <w:color w:val="auto"/>
          <w:sz w:val="22"/>
          <w:szCs w:val="22"/>
        </w:rPr>
        <w:t xml:space="preserve">É para promover essa proporcionalidade, em promoção plena princípio constitucional do equilíbrio financeiro e atuarial e do princípio correlato da contrapartida, nos termos da Lei, que o segurado busca a revisão do seu benefício. </w:t>
      </w: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3A0CA1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  <w:r w:rsidRPr="00B0353A">
        <w:rPr>
          <w:rFonts w:ascii="Arial" w:hAnsi="Arial" w:cs="Arial"/>
          <w:color w:val="auto"/>
          <w:sz w:val="22"/>
          <w:szCs w:val="22"/>
        </w:rPr>
        <w:t xml:space="preserve">Para tanto, busca a garantia de que prevaleça o cálculo mais vantajoso entre aquele que utilize o período básico de cálculo do Art. 29, I da Lei de Benefícios propriamente dita e o do Art. 3º, caput da Lei 9.876, que trouxe a reforma e incutiu tal regra transitória. </w:t>
      </w: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3A0CA1">
      <w:pPr>
        <w:ind w:firstLine="2835"/>
        <w:jc w:val="both"/>
        <w:rPr>
          <w:rFonts w:ascii="Arial" w:hAnsi="Arial" w:cs="Arial"/>
        </w:rPr>
      </w:pPr>
      <w:r w:rsidRPr="00B0353A">
        <w:rPr>
          <w:rFonts w:ascii="Arial" w:hAnsi="Arial" w:cs="Arial"/>
        </w:rPr>
        <w:lastRenderedPageBreak/>
        <w:t>A pretensão não tem a ver com simulações em diferentes datas de início de benefício, desnecessárias as simulações eventualmente trazidas pela Previdência Social ou a verificação de alguma situação de direito adquirido anterior à Lei 9.876/99.</w:t>
      </w:r>
    </w:p>
    <w:p w:rsidR="00201868" w:rsidRPr="00B0353A" w:rsidRDefault="003A0CA1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  <w:r w:rsidRPr="00B0353A">
        <w:rPr>
          <w:rFonts w:ascii="Arial" w:hAnsi="Arial" w:cs="Arial"/>
          <w:color w:val="auto"/>
          <w:sz w:val="22"/>
          <w:szCs w:val="22"/>
        </w:rPr>
        <w:t xml:space="preserve">Tem a ver com dois cálculos diferentes, para a mesma data de início de benefício, com regras diferentes, para que prevaleça a mais vantajosa, nos termos dos entendimentos do TRF da 4ª Região e da TRPR, todos unânimes nesse sentido, colacionados junto à inicial. </w:t>
      </w: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3A0CA1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  <w:r w:rsidRPr="00B0353A">
        <w:rPr>
          <w:rFonts w:ascii="Arial" w:hAnsi="Arial" w:cs="Arial"/>
          <w:color w:val="auto"/>
          <w:sz w:val="22"/>
          <w:szCs w:val="22"/>
        </w:rPr>
        <w:t xml:space="preserve">Não bastassem toda lídima demonstração da eficácia do direito aplicável à matéria, a pretensão tem guarida nos arestos unânimes do TRF da 4ª Região e da TRPR: </w:t>
      </w: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color w:val="auto"/>
          <w:sz w:val="22"/>
          <w:szCs w:val="22"/>
        </w:rPr>
      </w:pPr>
    </w:p>
    <w:p w:rsidR="00201868" w:rsidRPr="00B0353A" w:rsidRDefault="003A0CA1">
      <w:pPr>
        <w:pStyle w:val="Default"/>
        <w:jc w:val="both"/>
        <w:rPr>
          <w:rFonts w:ascii="Arial" w:hAnsi="Arial" w:cs="Arial"/>
        </w:rPr>
      </w:pPr>
      <w:r w:rsidRPr="00B0353A">
        <w:rPr>
          <w:rFonts w:ascii="Arial" w:hAnsi="Arial" w:cs="Arial"/>
        </w:rPr>
        <w:t xml:space="preserve">PREVIDENCIÁRIO. REVISÃO DE BENEFÍCIO. (...) </w:t>
      </w:r>
      <w:proofErr w:type="gramStart"/>
      <w:r w:rsidRPr="00B0353A">
        <w:rPr>
          <w:rFonts w:ascii="Arial" w:hAnsi="Arial" w:cs="Arial"/>
        </w:rPr>
        <w:t>2</w:t>
      </w:r>
      <w:proofErr w:type="gramEnd"/>
      <w:r w:rsidRPr="00B0353A">
        <w:rPr>
          <w:rFonts w:ascii="Arial" w:hAnsi="Arial" w:cs="Arial"/>
        </w:rPr>
        <w:t xml:space="preserve">. O parágrafo 2º do art. 32 do Decreto 3.048/99, com a redação dada pelo Decreto 3.265/99, enquanto vigente, o parágrafo 20 do mesmo artigo, com a redação do Decreto nº 5.545/2005, o parágrafo 3º do art. 188-A do Decreto 3048/99, com a redação do Decreto 3.265/99, e o parágrafo 4º do mesmo artigo, acrescentado pelo Decreto 5.545/2005, na redação vigente até o advento do Decreto 6.939/2009, contrariam o disposto no art. 29, inciso II, da Lei 8.213/91, com a redação dada pela Lei 9.876/99, bem como o disposto no art. 3º, caput, desta última lei, na medida em que estas leis, ao contrário dos referidos decretos, não exigem que, no cálculo do salário de benefício de auxílio-doença e de aposentadoria por invalidez, seja considerada a totalidade dos salários de contribuição, mas apenas os maiores salários de contribuição correspondentes a oitenta por cento de todo o período contributivo (regra permanente, para o segurado filiado a partir da publicação da Lei do Fator Previdenciário) ou, no mínimo, oitenta por cento de todo o período contributivo decorrido desde a competência julho de 1994 (regra transitória, para o segurado filiado à Previdência Social até o dia anterior à publicação da Lei 9.876/99 - ocorrida em 29-11-1999 </w:t>
      </w:r>
      <w:r w:rsidRPr="00B0353A">
        <w:rPr>
          <w:rFonts w:ascii="Arial" w:hAnsi="Arial" w:cs="Arial"/>
          <w:b/>
        </w:rPr>
        <w:t xml:space="preserve">-, </w:t>
      </w:r>
      <w:r w:rsidRPr="00B0353A">
        <w:rPr>
          <w:rFonts w:ascii="Arial" w:hAnsi="Arial" w:cs="Arial"/>
          <w:b/>
          <w:u w:val="single"/>
        </w:rPr>
        <w:t>podendo o segurado, neste caso, se eventualmente lhe for mais favorável, utilizar-se de mais de oitenta por cento do referido período contributivo).</w:t>
      </w:r>
      <w:r w:rsidRPr="00B0353A">
        <w:rPr>
          <w:rFonts w:ascii="Arial" w:hAnsi="Arial" w:cs="Arial"/>
        </w:rPr>
        <w:t xml:space="preserve"> (...) (TRF4 5001793-19.2010.404.7103, Sexta Turma, Relator p/ Acórdão Celso </w:t>
      </w:r>
      <w:proofErr w:type="spellStart"/>
      <w:r w:rsidRPr="00B0353A">
        <w:rPr>
          <w:rFonts w:ascii="Arial" w:hAnsi="Arial" w:cs="Arial"/>
        </w:rPr>
        <w:t>Kipper</w:t>
      </w:r>
      <w:proofErr w:type="spellEnd"/>
      <w:r w:rsidRPr="00B0353A">
        <w:rPr>
          <w:rFonts w:ascii="Arial" w:hAnsi="Arial" w:cs="Arial"/>
        </w:rPr>
        <w:t>, D.E. 26/04/2013</w:t>
      </w:r>
      <w:proofErr w:type="gramStart"/>
      <w:r w:rsidRPr="00B0353A">
        <w:rPr>
          <w:rFonts w:ascii="Arial" w:hAnsi="Arial" w:cs="Arial"/>
        </w:rPr>
        <w:t>)</w:t>
      </w:r>
      <w:proofErr w:type="gramEnd"/>
      <w:r w:rsidRPr="00B0353A">
        <w:rPr>
          <w:rFonts w:ascii="Arial" w:hAnsi="Arial" w:cs="Arial"/>
        </w:rPr>
        <w:t xml:space="preserve"> </w:t>
      </w:r>
    </w:p>
    <w:p w:rsidR="00201868" w:rsidRPr="00B0353A" w:rsidRDefault="00201868">
      <w:pPr>
        <w:pStyle w:val="Default"/>
        <w:jc w:val="both"/>
        <w:rPr>
          <w:rFonts w:ascii="Arial" w:hAnsi="Arial" w:cs="Arial"/>
        </w:rPr>
      </w:pPr>
    </w:p>
    <w:p w:rsidR="00201868" w:rsidRPr="00B0353A" w:rsidRDefault="00201868">
      <w:pPr>
        <w:pStyle w:val="Default"/>
        <w:jc w:val="both"/>
        <w:rPr>
          <w:rFonts w:ascii="Arial" w:hAnsi="Arial" w:cs="Arial"/>
        </w:rPr>
      </w:pPr>
    </w:p>
    <w:p w:rsidR="00201868" w:rsidRPr="00B0353A" w:rsidRDefault="003A0CA1">
      <w:pPr>
        <w:pStyle w:val="Default"/>
        <w:jc w:val="both"/>
        <w:rPr>
          <w:rFonts w:ascii="Arial" w:hAnsi="Arial" w:cs="Arial"/>
        </w:rPr>
      </w:pPr>
      <w:r w:rsidRPr="00B0353A">
        <w:rPr>
          <w:rFonts w:ascii="Arial" w:hAnsi="Arial" w:cs="Arial"/>
          <w:b/>
          <w:bCs/>
        </w:rPr>
        <w:t xml:space="preserve">EMENTA: </w:t>
      </w:r>
      <w:r w:rsidRPr="00B0353A">
        <w:rPr>
          <w:rFonts w:ascii="Arial" w:hAnsi="Arial" w:cs="Arial"/>
        </w:rPr>
        <w:t xml:space="preserve">RECURSO INOMINADO. DIREITO PREVIDENCIÁRIO. REVISÃO DA RENDA MENSAL INICIAL. APOSENTADORIA POR IDADE. REQUISITOS </w:t>
      </w:r>
      <w:proofErr w:type="gramStart"/>
      <w:r w:rsidRPr="00B0353A">
        <w:rPr>
          <w:rFonts w:ascii="Arial" w:hAnsi="Arial" w:cs="Arial"/>
        </w:rPr>
        <w:t>IMPLEMENTADOS</w:t>
      </w:r>
      <w:proofErr w:type="gramEnd"/>
      <w:r w:rsidRPr="00B0353A">
        <w:rPr>
          <w:rFonts w:ascii="Arial" w:hAnsi="Arial" w:cs="Arial"/>
        </w:rPr>
        <w:t xml:space="preserve"> APÓS O INÍCIO DE VIGÊNCIA DA LEI Nº 9.876/99. REGRA DE TRANSIÇÃO. DIVISOR MÍNIMO. APLICAÇÃO DA REGRA DEFINITIVA. 1. </w:t>
      </w:r>
      <w:proofErr w:type="gramStart"/>
      <w:r w:rsidRPr="00B0353A">
        <w:rPr>
          <w:rFonts w:ascii="Arial" w:hAnsi="Arial" w:cs="Arial"/>
        </w:rPr>
        <w:t>Implementados</w:t>
      </w:r>
      <w:proofErr w:type="gramEnd"/>
      <w:r w:rsidRPr="00B0353A">
        <w:rPr>
          <w:rFonts w:ascii="Arial" w:hAnsi="Arial" w:cs="Arial"/>
        </w:rPr>
        <w:t xml:space="preserve"> os requisitos para obtenção de aposentadoria por idade após o início de vigência da Lei nº 9.876/99, o pedido inicial foi julgado improcedente, por entender que o cálculo efetuado pela autarquia previdenciária está correto ao usar como divisor o correspondente a 60% do período decorrido da competência de julho de 1994 até a data de início do benefício. 2. A regra de transição prevista na Lei nº 9.876/99, no entanto, não pode prevalecer nas situações em que o número de contribuições recolhidas no período básico de cálculo é inferior ao divisor mínimo. Nesses casos, em que a regra de transitória é prejudicial ao segurado, deve ser aplicada a regra definitiva, prevista no artigo 29, inciso I, da Lei nº </w:t>
      </w:r>
      <w:proofErr w:type="gramStart"/>
      <w:r w:rsidRPr="00B0353A">
        <w:rPr>
          <w:rFonts w:ascii="Arial" w:hAnsi="Arial" w:cs="Arial"/>
        </w:rPr>
        <w:t>8.213/91, com a redação definida pela Lei nº</w:t>
      </w:r>
      <w:proofErr w:type="gramEnd"/>
      <w:r w:rsidRPr="00B0353A">
        <w:rPr>
          <w:rFonts w:ascii="Arial" w:hAnsi="Arial" w:cs="Arial"/>
        </w:rPr>
        <w:t xml:space="preserve"> 9.876/99. 3. Nesse exato sentido é a </w:t>
      </w:r>
      <w:r w:rsidRPr="00B0353A">
        <w:rPr>
          <w:rFonts w:ascii="Arial" w:hAnsi="Arial" w:cs="Arial"/>
        </w:rPr>
        <w:lastRenderedPageBreak/>
        <w:t xml:space="preserve">orientação jurisprudencial firmada ao interpretar a regra transitória prevista no artigo 9º, da Emenda Constitucional nº 20/98, que estabeleceu, além do tempo de contribuição, idade mínima e "pedágio", para obtenção de aposentadoria por tempo de contribuição integral, enquanto o texto permanente (art. 201, § 7º, inc. </w:t>
      </w:r>
      <w:proofErr w:type="gramStart"/>
      <w:r w:rsidRPr="00B0353A">
        <w:rPr>
          <w:rFonts w:ascii="Arial" w:hAnsi="Arial" w:cs="Arial"/>
        </w:rPr>
        <w:t>I, CF</w:t>
      </w:r>
      <w:proofErr w:type="gramEnd"/>
      <w:r w:rsidRPr="00B0353A">
        <w:rPr>
          <w:rFonts w:ascii="Arial" w:hAnsi="Arial" w:cs="Arial"/>
        </w:rPr>
        <w:t xml:space="preserve">/88) exige tão somente tempo de contribuição. A solução definida pela jurisprudência determina a aplicação da regra definitiva, já que a regra de transição é prejudicial ao segurado, por exigir requisitos (idade mínima e "pedágio") não previstos no texto definitivo. 4. </w:t>
      </w:r>
      <w:r w:rsidRPr="00B0353A">
        <w:rPr>
          <w:rFonts w:ascii="Arial" w:hAnsi="Arial" w:cs="Arial"/>
          <w:b/>
          <w:u w:val="single"/>
        </w:rPr>
        <w:t>Recurso parcialmente provido, para determinar a aplicação da regra definitiva, prevista no artigo 29, inciso I, da Lei nº 8.213/91, com a redação estabelecida pela Lei nº 9.876/99, ressalvado que, se a RMI revisada for inferior àquela concedida pelo INSS, deverá ser mantido o valor original, nos termos do artigo 122, da Lei nº 8.213/991.</w:t>
      </w:r>
      <w:r w:rsidRPr="00B0353A">
        <w:rPr>
          <w:rFonts w:ascii="Arial" w:hAnsi="Arial" w:cs="Arial"/>
        </w:rPr>
        <w:t xml:space="preserve"> </w:t>
      </w:r>
      <w:proofErr w:type="gramStart"/>
      <w:r w:rsidRPr="00B0353A">
        <w:rPr>
          <w:rFonts w:ascii="Arial" w:hAnsi="Arial" w:cs="Arial"/>
        </w:rPr>
        <w:t xml:space="preserve">( </w:t>
      </w:r>
      <w:proofErr w:type="gramEnd"/>
      <w:r w:rsidRPr="00B0353A">
        <w:rPr>
          <w:rFonts w:ascii="Arial" w:hAnsi="Arial" w:cs="Arial"/>
        </w:rPr>
        <w:t xml:space="preserve">5025843-93.2011.404.7000, Terceira Turma Recursal do PR, Relatora Flavia da Silva Xavier, julgado em 06/11/2013) </w:t>
      </w:r>
    </w:p>
    <w:p w:rsidR="00201868" w:rsidRPr="00B0353A" w:rsidRDefault="00201868">
      <w:pPr>
        <w:pStyle w:val="Default"/>
        <w:rPr>
          <w:rFonts w:ascii="Arial" w:hAnsi="Arial" w:cs="Arial"/>
          <w:sz w:val="20"/>
          <w:szCs w:val="20"/>
        </w:rPr>
      </w:pPr>
    </w:p>
    <w:p w:rsidR="00201868" w:rsidRPr="00B0353A" w:rsidRDefault="00201868">
      <w:pPr>
        <w:pStyle w:val="Default"/>
        <w:rPr>
          <w:rFonts w:ascii="Arial" w:hAnsi="Arial" w:cs="Arial"/>
          <w:sz w:val="20"/>
          <w:szCs w:val="20"/>
        </w:rPr>
      </w:pPr>
    </w:p>
    <w:p w:rsidR="00201868" w:rsidRPr="00B0353A" w:rsidRDefault="003A0CA1">
      <w:pPr>
        <w:pStyle w:val="Default"/>
        <w:ind w:firstLine="2835"/>
        <w:rPr>
          <w:rFonts w:ascii="Arial" w:hAnsi="Arial" w:cs="Arial"/>
          <w:sz w:val="26"/>
          <w:szCs w:val="26"/>
        </w:rPr>
      </w:pPr>
      <w:r w:rsidRPr="00B0353A">
        <w:rPr>
          <w:rFonts w:ascii="Arial" w:hAnsi="Arial" w:cs="Arial"/>
          <w:sz w:val="26"/>
          <w:szCs w:val="26"/>
        </w:rPr>
        <w:t xml:space="preserve">Resta impugnada a contestação. </w:t>
      </w:r>
    </w:p>
    <w:p w:rsidR="00201868" w:rsidRPr="00B0353A" w:rsidRDefault="00201868">
      <w:pPr>
        <w:pStyle w:val="Default"/>
        <w:ind w:firstLine="2835"/>
        <w:rPr>
          <w:rFonts w:ascii="Arial" w:hAnsi="Arial" w:cs="Arial"/>
          <w:sz w:val="26"/>
          <w:szCs w:val="26"/>
        </w:rPr>
      </w:pPr>
    </w:p>
    <w:p w:rsidR="00201868" w:rsidRPr="00B0353A" w:rsidRDefault="003A0CA1">
      <w:pPr>
        <w:pStyle w:val="Default"/>
        <w:rPr>
          <w:rFonts w:ascii="Arial" w:hAnsi="Arial" w:cs="Arial"/>
          <w:b/>
          <w:bCs/>
          <w:sz w:val="26"/>
          <w:szCs w:val="26"/>
        </w:rPr>
      </w:pPr>
      <w:r w:rsidRPr="00B0353A">
        <w:rPr>
          <w:rFonts w:ascii="Arial" w:hAnsi="Arial" w:cs="Arial"/>
          <w:b/>
          <w:bCs/>
          <w:sz w:val="26"/>
          <w:szCs w:val="26"/>
        </w:rPr>
        <w:t xml:space="preserve">3. Dos requerimentos </w:t>
      </w:r>
    </w:p>
    <w:p w:rsidR="00201868" w:rsidRPr="00B0353A" w:rsidRDefault="00201868">
      <w:pPr>
        <w:pStyle w:val="Default"/>
        <w:rPr>
          <w:rFonts w:ascii="Arial" w:hAnsi="Arial" w:cs="Arial"/>
          <w:sz w:val="26"/>
          <w:szCs w:val="26"/>
        </w:rPr>
      </w:pPr>
    </w:p>
    <w:p w:rsidR="00201868" w:rsidRPr="00B0353A" w:rsidRDefault="00201868">
      <w:pPr>
        <w:pStyle w:val="Default"/>
        <w:rPr>
          <w:rFonts w:ascii="Arial" w:hAnsi="Arial" w:cs="Arial"/>
          <w:sz w:val="26"/>
          <w:szCs w:val="26"/>
        </w:rPr>
      </w:pPr>
    </w:p>
    <w:p w:rsidR="00201868" w:rsidRPr="00B0353A" w:rsidRDefault="003A0CA1">
      <w:pPr>
        <w:pStyle w:val="Default"/>
        <w:ind w:firstLine="2835"/>
        <w:jc w:val="both"/>
        <w:rPr>
          <w:rFonts w:ascii="Arial" w:hAnsi="Arial" w:cs="Arial"/>
          <w:sz w:val="26"/>
          <w:szCs w:val="26"/>
        </w:rPr>
      </w:pPr>
      <w:r w:rsidRPr="00B0353A">
        <w:rPr>
          <w:rFonts w:ascii="Arial" w:hAnsi="Arial" w:cs="Arial"/>
          <w:sz w:val="26"/>
          <w:szCs w:val="26"/>
        </w:rPr>
        <w:t>Ante todo o exposto a parte autora requer a Vossa Excelência o julgamento antecipado da lide, conforme pedidos na peça vestibular com a consequente condenação da Autarquia Ré, JULGANDO TOTALMENTE PROCEDENTE O PEDIDO DA PARTE AUTORA, por medida de JUSTIÇA!</w:t>
      </w: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sz w:val="26"/>
          <w:szCs w:val="26"/>
        </w:rPr>
      </w:pP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sz w:val="26"/>
          <w:szCs w:val="26"/>
        </w:rPr>
      </w:pPr>
    </w:p>
    <w:p w:rsidR="00201868" w:rsidRPr="00B0353A" w:rsidRDefault="003A0CA1">
      <w:pPr>
        <w:pStyle w:val="Default"/>
        <w:ind w:firstLine="2835"/>
        <w:jc w:val="both"/>
        <w:rPr>
          <w:rFonts w:ascii="Arial" w:hAnsi="Arial" w:cs="Arial"/>
          <w:sz w:val="26"/>
          <w:szCs w:val="26"/>
        </w:rPr>
      </w:pPr>
      <w:r w:rsidRPr="00B0353A">
        <w:rPr>
          <w:rFonts w:ascii="Arial" w:hAnsi="Arial" w:cs="Arial"/>
          <w:sz w:val="26"/>
          <w:szCs w:val="26"/>
        </w:rPr>
        <w:t xml:space="preserve">Termos em que pede deferimento. </w:t>
      </w:r>
    </w:p>
    <w:p w:rsidR="00201868" w:rsidRPr="00B0353A" w:rsidRDefault="00201868">
      <w:pPr>
        <w:pStyle w:val="Default"/>
        <w:ind w:firstLine="2835"/>
        <w:jc w:val="both"/>
        <w:rPr>
          <w:rFonts w:ascii="Arial" w:hAnsi="Arial" w:cs="Arial"/>
          <w:sz w:val="26"/>
          <w:szCs w:val="26"/>
        </w:rPr>
      </w:pPr>
    </w:p>
    <w:p w:rsidR="00201868" w:rsidRPr="00B0353A" w:rsidRDefault="00201868">
      <w:pPr>
        <w:ind w:firstLine="2835"/>
        <w:jc w:val="both"/>
        <w:rPr>
          <w:rFonts w:ascii="Arial" w:hAnsi="Arial" w:cs="Arial"/>
          <w:color w:val="000000"/>
          <w:sz w:val="26"/>
          <w:szCs w:val="26"/>
        </w:rPr>
      </w:pPr>
    </w:p>
    <w:p w:rsidR="00201868" w:rsidRPr="00B0353A" w:rsidRDefault="003A0CA1">
      <w:pPr>
        <w:ind w:firstLine="2835"/>
        <w:jc w:val="both"/>
        <w:rPr>
          <w:rFonts w:ascii="Arial" w:hAnsi="Arial" w:cs="Arial"/>
          <w:color w:val="000000"/>
          <w:sz w:val="26"/>
          <w:szCs w:val="26"/>
        </w:rPr>
      </w:pPr>
      <w:r w:rsidRPr="00B0353A">
        <w:rPr>
          <w:rFonts w:ascii="Arial" w:hAnsi="Arial" w:cs="Arial"/>
          <w:color w:val="000000"/>
          <w:sz w:val="26"/>
          <w:szCs w:val="26"/>
        </w:rPr>
        <w:t>Local e data</w:t>
      </w:r>
    </w:p>
    <w:p w:rsidR="00201868" w:rsidRPr="00B0353A" w:rsidRDefault="00201868">
      <w:pPr>
        <w:ind w:firstLine="2835"/>
        <w:jc w:val="both"/>
        <w:rPr>
          <w:rFonts w:ascii="Arial" w:hAnsi="Arial" w:cs="Arial"/>
          <w:color w:val="000000"/>
          <w:sz w:val="26"/>
          <w:szCs w:val="26"/>
        </w:rPr>
      </w:pPr>
    </w:p>
    <w:p w:rsidR="00201868" w:rsidRPr="00B0353A" w:rsidRDefault="003A0CA1">
      <w:pPr>
        <w:ind w:firstLine="2835"/>
        <w:jc w:val="both"/>
        <w:rPr>
          <w:rFonts w:ascii="Arial" w:hAnsi="Arial" w:cs="Arial"/>
          <w:color w:val="000000"/>
          <w:sz w:val="26"/>
          <w:szCs w:val="26"/>
        </w:rPr>
      </w:pPr>
      <w:r w:rsidRPr="00B0353A">
        <w:rPr>
          <w:rFonts w:ascii="Arial" w:hAnsi="Arial" w:cs="Arial"/>
          <w:color w:val="000000"/>
          <w:sz w:val="26"/>
          <w:szCs w:val="26"/>
        </w:rPr>
        <w:t>Advogado</w:t>
      </w:r>
    </w:p>
    <w:p w:rsidR="00201868" w:rsidRPr="00B0353A" w:rsidRDefault="003A0CA1">
      <w:pPr>
        <w:ind w:firstLine="2835"/>
        <w:jc w:val="both"/>
        <w:rPr>
          <w:rFonts w:ascii="Arial" w:hAnsi="Arial" w:cs="Arial"/>
          <w:color w:val="000000"/>
          <w:sz w:val="26"/>
          <w:szCs w:val="26"/>
        </w:rPr>
      </w:pPr>
      <w:r w:rsidRPr="00B0353A">
        <w:rPr>
          <w:rFonts w:ascii="Arial" w:hAnsi="Arial" w:cs="Arial"/>
          <w:color w:val="000000"/>
          <w:sz w:val="26"/>
          <w:szCs w:val="26"/>
        </w:rPr>
        <w:t xml:space="preserve">OAB/XX - </w:t>
      </w:r>
      <w:proofErr w:type="spellStart"/>
      <w:r w:rsidRPr="00B0353A">
        <w:rPr>
          <w:rFonts w:ascii="Arial" w:hAnsi="Arial" w:cs="Arial"/>
          <w:color w:val="000000"/>
          <w:sz w:val="26"/>
          <w:szCs w:val="26"/>
        </w:rPr>
        <w:t>xxxxxx</w:t>
      </w:r>
      <w:proofErr w:type="spellEnd"/>
    </w:p>
    <w:sectPr w:rsidR="00201868" w:rsidRPr="00B0353A" w:rsidSect="002018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8A8" w:rsidRDefault="006818A8" w:rsidP="00201868">
      <w:pPr>
        <w:spacing w:after="0" w:line="240" w:lineRule="auto"/>
      </w:pPr>
      <w:r>
        <w:separator/>
      </w:r>
    </w:p>
  </w:endnote>
  <w:endnote w:type="continuationSeparator" w:id="0">
    <w:p w:rsidR="006818A8" w:rsidRDefault="006818A8" w:rsidP="00201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469" w:rsidRDefault="00680469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469" w:rsidRDefault="00680469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469" w:rsidRDefault="0068046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8A8" w:rsidRDefault="006818A8" w:rsidP="00201868">
      <w:pPr>
        <w:spacing w:after="0" w:line="240" w:lineRule="auto"/>
      </w:pPr>
      <w:r>
        <w:separator/>
      </w:r>
    </w:p>
  </w:footnote>
  <w:footnote w:type="continuationSeparator" w:id="0">
    <w:p w:rsidR="006818A8" w:rsidRDefault="006818A8" w:rsidP="00201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469" w:rsidRDefault="0068046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55011" o:spid="_x0000_s2050" type="#_x0000_t75" style="position:absolute;margin-left:0;margin-top:0;width:439.15pt;height:92.7pt;z-index:-251657216;mso-position-horizontal:center;mso-position-horizontal-relative:margin;mso-position-vertical:center;mso-position-vertical-relative:margin" o:allowincell="f">
          <v:imagedata r:id="rId1" o:title="logo-docjuris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469" w:rsidRDefault="0068046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55012" o:spid="_x0000_s2051" type="#_x0000_t75" style="position:absolute;margin-left:0;margin-top:0;width:439.15pt;height:92.7pt;z-index:-251656192;mso-position-horizontal:center;mso-position-horizontal-relative:margin;mso-position-vertical:center;mso-position-vertical-relative:margin" o:allowincell="f">
          <v:imagedata r:id="rId1" o:title="logo-docjuris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0469" w:rsidRDefault="00680469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55010" o:spid="_x0000_s2049" type="#_x0000_t75" style="position:absolute;margin-left:0;margin-top:0;width:439.15pt;height:92.7pt;z-index:-251658240;mso-position-horizontal:center;mso-position-horizontal-relative:margin;mso-position-vertical:center;mso-position-vertical-relative:margin" o:allowincell="f">
          <v:imagedata r:id="rId1" o:title="logo-docjuris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478E4"/>
    <w:multiLevelType w:val="multilevel"/>
    <w:tmpl w:val="347478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776C"/>
    <w:rsid w:val="000666E8"/>
    <w:rsid w:val="00201868"/>
    <w:rsid w:val="003A0CA1"/>
    <w:rsid w:val="004759C4"/>
    <w:rsid w:val="00680469"/>
    <w:rsid w:val="006818A8"/>
    <w:rsid w:val="00A764E9"/>
    <w:rsid w:val="00A7776C"/>
    <w:rsid w:val="00B0353A"/>
    <w:rsid w:val="00C633AD"/>
    <w:rsid w:val="2F4B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868"/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uiPriority w:val="99"/>
    <w:unhideWhenUsed/>
    <w:rsid w:val="0020186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uiPriority w:val="99"/>
    <w:unhideWhenUsed/>
    <w:rsid w:val="00201868"/>
    <w:pPr>
      <w:tabs>
        <w:tab w:val="center" w:pos="4252"/>
        <w:tab w:val="right" w:pos="8504"/>
      </w:tabs>
    </w:pPr>
  </w:style>
  <w:style w:type="paragraph" w:customStyle="1" w:styleId="Default">
    <w:name w:val="Default"/>
    <w:rsid w:val="002018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normaltextrun">
    <w:name w:val="normaltextrun"/>
    <w:basedOn w:val="Fontepargpadro"/>
    <w:rsid w:val="00201868"/>
  </w:style>
  <w:style w:type="character" w:customStyle="1" w:styleId="apple-converted-space">
    <w:name w:val="apple-converted-space"/>
    <w:basedOn w:val="Fontepargpadro"/>
    <w:qFormat/>
    <w:rsid w:val="00201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1539</Words>
  <Characters>8312</Characters>
  <Application>Microsoft Office Word</Application>
  <DocSecurity>0</DocSecurity>
  <Lines>69</Lines>
  <Paragraphs>19</Paragraphs>
  <ScaleCrop>false</ScaleCrop>
  <Company/>
  <LinksUpToDate>false</LinksUpToDate>
  <CharactersWithSpaces>9832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</cp:lastModifiedBy>
  <cp:revision>6</cp:revision>
  <dcterms:created xsi:type="dcterms:W3CDTF">2015-03-04T15:22:00Z</dcterms:created>
  <dcterms:modified xsi:type="dcterms:W3CDTF">2020-12-02T13:48:00Z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1046-10.1.0.5507</vt:lpwstr>
  </property>
</Properties>
</file>