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0B" w:rsidRPr="00266FD2" w:rsidRDefault="00EB7CC7" w:rsidP="00CF740B">
      <w:pPr>
        <w:spacing w:before="120" w:after="120" w:line="360" w:lineRule="auto"/>
        <w:jc w:val="both"/>
        <w:rPr>
          <w:b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AO JUÍZO DA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bookmarkStart w:id="0" w:name="_GoBack"/>
      <w:bookmarkEnd w:id="0"/>
      <w:proofErr w:type="spellStart"/>
      <w:proofErr w:type="gramEnd"/>
      <w:r w:rsidR="00CF740B" w:rsidRPr="00266FD2">
        <w:rPr>
          <w:rFonts w:ascii="Arial" w:hAnsi="Arial" w:cs="Arial"/>
          <w:b/>
          <w:bCs/>
          <w:color w:val="000000"/>
          <w:sz w:val="24"/>
          <w:szCs w:val="24"/>
        </w:rPr>
        <w:t>DA</w:t>
      </w:r>
      <w:proofErr w:type="spellEnd"/>
      <w:r w:rsidR="00CF740B" w:rsidRPr="00266FD2">
        <w:rPr>
          <w:rFonts w:ascii="Arial" w:hAnsi="Arial" w:cs="Arial"/>
          <w:b/>
          <w:bCs/>
          <w:color w:val="000000"/>
          <w:sz w:val="24"/>
          <w:szCs w:val="24"/>
        </w:rPr>
        <w:t xml:space="preserve"> __ VARA CIVEL DA COMARCA DE XXXX/UF</w:t>
      </w:r>
    </w:p>
    <w:p w:rsidR="00FF22C0" w:rsidRPr="00266FD2" w:rsidRDefault="00FF22C0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1EC5" w:rsidRPr="00266FD2" w:rsidRDefault="00811EC5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CF740B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FAZENDA PRODUTORA LTDA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.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 xml:space="preserve">, pessoa jurídica de direito privado, com sua sede na Rua X, nº. 0000, Zona Rural, em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CIDADE/UF, 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 xml:space="preserve">inscrita no CNPJ(MF) sob o nº.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11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>.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222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>.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333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>/0001-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44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 xml:space="preserve">, com endereço eletrônico </w:t>
      </w:r>
      <w:r w:rsidRPr="00266FD2">
        <w:rPr>
          <w:rFonts w:ascii="Arial" w:hAnsi="Arial" w:cs="Arial"/>
          <w:bCs/>
          <w:i/>
          <w:color w:val="000000"/>
          <w:sz w:val="24"/>
          <w:szCs w:val="24"/>
        </w:rPr>
        <w:t>email@email.com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>, comparece, com o devido respeito à presença de Vossa Excelência, intermediada por seu mandatário ao final firmado -- </w:t>
      </w:r>
      <w:r w:rsidR="00956D07"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instrumento procuratório acostado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 xml:space="preserve"> - causídico inscrito na Ordem dos Advogados do Brasil, Seção do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UF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 xml:space="preserve">, sob o nº.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11.111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>, com seu endereço profissional consignado no timbre desta, onde, em atendimento à diretriz do art. 106, inciso I, do Novo Código de Processo Civil, indica-o para as intimações necessárias, onde vem ajuizar, com fulcro nos art. 560 e segs. c/c art. 558, do Nova Legislação Adjetiva Civil e art. 1210 do Código Civil, a presente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CF740B" w:rsidRPr="00266FD2" w:rsidRDefault="00956D07" w:rsidP="00266FD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AÇÃO DE MANUNTENÇÃO DE POSSE</w:t>
      </w:r>
      <w:r w:rsidR="00266F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C/C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“PLEITO COMINATÓRIO” E PEDIDO DE “MEDIDA LIMINAR”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contra </w:t>
      </w:r>
    </w:p>
    <w:p w:rsidR="00956D07" w:rsidRPr="00266FD2" w:rsidRDefault="00CF740B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FULANO DE TAL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>, solteiro, agricultor, </w:t>
      </w:r>
      <w:r w:rsidR="00956D07"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residente e domiciliado no Sítio Londrina, s/n- Zona Rural 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–</w:t>
      </w:r>
      <w:r w:rsidR="00956D07"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Cidade/UF</w:t>
      </w:r>
      <w:r w:rsidR="00956D07"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– CEP nº. 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11222-000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>, </w:t>
      </w:r>
      <w:r w:rsidR="00956D07"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inscrito no CPF(MF) sob o nº. 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999.888.777-</w:t>
      </w:r>
      <w:proofErr w:type="gramStart"/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00</w:t>
      </w:r>
      <w:r w:rsidR="00956D07"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, 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>endereço</w:t>
      </w:r>
      <w:proofErr w:type="gramEnd"/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 xml:space="preserve"> eletrônico desconhecido, </w:t>
      </w:r>
      <w:r w:rsidR="00956D07"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 </w:t>
      </w:r>
      <w:r w:rsidR="00956D07" w:rsidRPr="00266FD2">
        <w:rPr>
          <w:rFonts w:ascii="Arial" w:hAnsi="Arial" w:cs="Arial"/>
          <w:bCs/>
          <w:color w:val="000000"/>
          <w:sz w:val="24"/>
          <w:szCs w:val="24"/>
        </w:rPr>
        <w:t>em decorrência das justificativas de ordem fática e de direito abaixo delineadas.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I – INTROITO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( </w:t>
      </w:r>
      <w:proofErr w:type="gramEnd"/>
      <w:r w:rsidRPr="00266FD2">
        <w:rPr>
          <w:rFonts w:ascii="Arial" w:hAnsi="Arial" w:cs="Arial"/>
          <w:bCs/>
          <w:color w:val="000000"/>
          <w:sz w:val="24"/>
          <w:szCs w:val="24"/>
        </w:rPr>
        <w:t>a ) Quanto à audiência de conciliação (CPC/2015, art. 319, inc. VII)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O Autor opta pela não realização de audiência conciliatória (CPC/2015, art. 319, inc. VII).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II – CONSIDERAÇÕES FÁTICAS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A Autora é proprietária e possuidora do imóvel sito na Rua X, nº. 0000, Zona Rural, em 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>Cidade/UF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, objeto da matrícula de registro imobiliário nº. 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>9988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. Referido bem fora adquirido em 1998, onde a Promovente pagara, em moeda corrente nacional, a quantia de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R$ 00.000,00 </w:t>
      </w:r>
      <w:proofErr w:type="gramStart"/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( </w:t>
      </w:r>
      <w:proofErr w:type="gramEnd"/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.</w:t>
      </w:r>
      <w:proofErr w:type="spellStart"/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x.x.x</w:t>
      </w:r>
      <w:proofErr w:type="spellEnd"/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. )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, o que se comprova pela cópia da escritura pública e certidão de registro de imóvel, devidamente registrado em nome da Autora. (docs. 01/02)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Desde então a Autora mantém a posse e propriedade do referido bem, inclusive pagamentos os encargos tributários pertinentes ao mesmo. (docs. 03/09)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CF740B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Com o material fotográfico ora acostado, também se demonstra que a Autora mantém atividade pecuária e de cultivo de caju. (docs. 10/17)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Demonstra-se, mais, que no situado endereço funciona, há anos, uma fábrica de extração da castanha de caju. (docs. 18/22)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O Réu é confinante com a Autora desde 11/22/3333, onde passou a residir e realizar a criação de cabras para engorda e posterior venda. De logo inserimos prova documental de documentos que comprovam a titularidade do imóvel confinante. (doc. 23)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Todavia, há alguns meses o Réu insiste em adentrar no imóvel pertencente à Autora, onde leva sua criação de animais para engorda em uma pastagem nos fundos do imóvel desta. De já se comprova por fotos verificadas em várias ocasiões e, mais, ata notarial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com depoimentos de pessoas que atestam os fatos, estes presenciados pelo Tabelião, também aqui </w:t>
      </w:r>
      <w:proofErr w:type="gramStart"/>
      <w:r w:rsidRPr="00266FD2">
        <w:rPr>
          <w:rFonts w:ascii="Arial" w:hAnsi="Arial" w:cs="Arial"/>
          <w:bCs/>
          <w:color w:val="000000"/>
          <w:sz w:val="24"/>
          <w:szCs w:val="24"/>
        </w:rPr>
        <w:t>anexada.</w:t>
      </w:r>
      <w:proofErr w:type="gramEnd"/>
      <w:r w:rsidRPr="00266FD2">
        <w:rPr>
          <w:rFonts w:ascii="Arial" w:hAnsi="Arial" w:cs="Arial"/>
          <w:bCs/>
          <w:color w:val="000000"/>
          <w:sz w:val="24"/>
          <w:szCs w:val="24"/>
        </w:rPr>
        <w:t>(docs. 24/31) Desses, constata-se que a última invasão se deu em 55/44/3333.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>Em conta desse fato, a Autora notificou o Ré a interromper a invasão de suas terras, sob pena de sofrer ação judicial e pagar indenização pelos danos ocasionados. (doc. 32)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Contudo, decorrido o prazo concedido, o Réu quedou-se inerte, continuando, injustamente, a invadir o imóvel.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Por tudo isso, não restou à Autora outra alternativa senão buscar seus direitos por meio da presente Ação de Reintegração de Posse. (CPC/2015, art. 17)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III – DO DIREITO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3.1. Da competência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Urge asseverar, primeiramente, que a Autora promove a presente ação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no foro territorial competente, visto que o imóvel em liça se situa na Rua X, nº. 000, neste Município.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NOVO CÓDIGO DE PROCESSO CIVIL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Art. 47 - Para as ações fundadas em direito real sobre imóveis é competente o foro de situação da coisa.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3.2. Do rito processual desta demanda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Destaca-se que a presente ação fora ajuizada no dia 11/22/3333. De outro bordo, a notificação do Réu para interromper a invasão do imóvel –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portanto, a turbação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 – ocorrera no dia 22/33/1111. (doc. 32) O rito, destarte, é especial, uma vez que a ofensa ao direito da Autora ocorrera em menos de ano e dia (posse nova).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A propósito, vejamos os seguintes julgados: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>PROCESSO CIVIL. EMBARGOS DECLARATÓRIOS COM EFEITOS INFRINGENTES. OMISSÃO VERIFICADA. EXISTÊNCIA, NOS AUTOS, DE PROVA DA DATA DO ESBULHO. POSSE NOVA. REQUISITOS PARA O DEFERIMENTO DA LIMINAR PREENCHIDOS. EMBARGOS ACOLHIDOS. DECISÃO REFORMADA COM EFEITOS MODIFICATIVOS.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1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Consoante sumariamente anunciado, a decisão ora atacada negou provimento a agravo de instrumento sob o argumento que inexistiriam nestes autos, prova da data do esbulho, o que, ainda segundo a decisão, ensejaria a presunção de que este ocorreu em período superior àquele que autoriza o deferimento da medida liminar (um ano e um dia).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266FD2">
        <w:rPr>
          <w:rFonts w:ascii="Arial" w:hAnsi="Arial" w:cs="Arial"/>
          <w:bCs/>
          <w:color w:val="000000"/>
          <w:sz w:val="24"/>
          <w:szCs w:val="24"/>
        </w:rPr>
        <w:t>2</w:t>
      </w:r>
      <w:proofErr w:type="gram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Todavia, na oportunidade em que foi ofertada a contestação, em primeiro grau, os próprios invasores confessaram a data em que se deu o esbulho, a saber, março de 2007. (fl. 260 destes autos).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3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Desta forma, tendo sido a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actio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originária proposta em setembro de 2007, menos de um ano e um dia da data do esbulho, resta preenchido o requisito elencado no inciso III, do art. 927 [CPC/2015, art. 561], CPC, c/c art. 924 do mesmo diploma. [CPC/2015, art. 558]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4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Os demais requisitos, quais sejam, a posse da companhia promovente, o esbulho praticado pelos réus e a perda da posse, restam também preenchidos, e não foram sequer rechaçados pelos agravados, na contestação da ação originária. 5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Em verdade, o indeferimento da medida liminar de reintegração teve como único fundamento o suposto não atendimento da condição temporal, o que, conforme já demonstrado, restou superado.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266FD2">
        <w:rPr>
          <w:rFonts w:ascii="Arial" w:hAnsi="Arial" w:cs="Arial"/>
          <w:bCs/>
          <w:color w:val="000000"/>
          <w:sz w:val="24"/>
          <w:szCs w:val="24"/>
        </w:rPr>
        <w:t>6</w:t>
      </w:r>
      <w:proofErr w:type="gram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Estando presentes os requisitos autorizadores da medida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reintegratória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liminar, o seu deferimento é medida que se impõe.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7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Por fim, tenho que merece especial atenção a forma que deverá ser realizada a reintegração em comento. É que,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tratando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</w: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>se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de questão social, cujos reflexos exorbitam a ordem patrimonial, a presente causa enseja o condicionamento da execução da medida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reintegratória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>.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266FD2">
        <w:rPr>
          <w:rFonts w:ascii="Arial" w:hAnsi="Arial" w:cs="Arial"/>
          <w:bCs/>
          <w:color w:val="000000"/>
          <w:sz w:val="24"/>
          <w:szCs w:val="24"/>
        </w:rPr>
        <w:t>8</w:t>
      </w:r>
      <w:proofErr w:type="gram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A prudência e a razoabilidade nos orienta a garantir que a reintegração seja condicionada ao prévio remanejamento das famílias realmente necessitadas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condição a ser preliminarmente aferida por assistente social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para outro local a ser providenciado pela empresa promovente, ora embargante, junto ao Governo do Estado do Ceará, visto que este foi admitido como assistente.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9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Ademais, deverá ser disponibilizado o transporte necessário para a desocupação da área e o remanejamento das famílias.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10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Por fim, mas não menos importante, todo o processo de cumprimento desta decisão deve ser acompanhado por assistentes sociais e pelo necessário policiamento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11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Embargos conhecidos e acolhidos com efeitos infringentes. Decisão reformada para dar provimento ao agravo de instrumento interposto pela Companhia de Desenvolvimento do Ceará, deferindo a liminar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reintegratória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. (TJCE -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EDcl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7780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>08.2007.8.06.0000/1; Quarta Câmara Cível; Rel. Des. Teodoro Silva Santos; DJCE 03/05/2012; Pág. 41)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left="2268"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AGRAVO DE INSTRUMENTO. REINTEGRAÇÃO DE POSSE. INVASÃO DE LOTE RURAL. CLANDESTINIDADE. POSSE NOVA. JUSTIFICAÇÃO PRÉVIA REALIZADA. RETOMADA ORDENADA. MANUTENÇÃO.</w:t>
      </w:r>
      <w:r w:rsidR="00CF740B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Comprovada através de audiência de justificação prévia que a posse dos requeridos é nova e clandestina, é cabível a concessão de liminar para determinar a imediata desocupação da área e sua devolução à posseira primeva. (TJRO - AI 0013340-</w:t>
      </w: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42.2011.8.22.0000; Rel. Des. Moreira Chagas;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Julg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>. 27/03/2012; DJERO 03/04/2012; Pág. 74)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3.3. Preenchimento dos requisitos da petição inicial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 3.3.1. Prova da posse –  CPC/2015, art. 561, inc. I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A Autora é proprietária e possuidora do imóvel sito na Rua X, nº. 0000, Zona Rural, em 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>Cidade/UF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, objeto da matrícula de registro imobiliário nº. 3344. Referido bem fora adquirido em 1998, onde a Promovente pagara, em moeda corrente nacional, a quantia de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R$ 00.000,00 </w:t>
      </w:r>
      <w:proofErr w:type="gramStart"/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( </w:t>
      </w:r>
      <w:proofErr w:type="gramEnd"/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.</w:t>
      </w:r>
      <w:proofErr w:type="spellStart"/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x.x.x</w:t>
      </w:r>
      <w:proofErr w:type="spellEnd"/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. )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, o que comprova-se pela cópia da escritura pública e certidão de registro de imóvel, devidamente registrado em nome da Autora. (docs. 01/02)</w:t>
      </w:r>
    </w:p>
    <w:p w:rsidR="00266FD2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Desde então a Autora mantém a posse e propriedade do referido bem, inclusive pagamentos os encargos tributários pertinentes ao mesmo. (docs. 03/09)</w:t>
      </w:r>
    </w:p>
    <w:p w:rsidR="00266FD2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Com o material fotográfico ora acostado, também </w:t>
      </w:r>
      <w:proofErr w:type="gramStart"/>
      <w:r w:rsidRPr="00266FD2">
        <w:rPr>
          <w:rFonts w:ascii="Arial" w:hAnsi="Arial" w:cs="Arial"/>
          <w:bCs/>
          <w:color w:val="000000"/>
          <w:sz w:val="24"/>
          <w:szCs w:val="24"/>
        </w:rPr>
        <w:t>demonstra-se</w:t>
      </w:r>
      <w:proofErr w:type="gram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que a Autora mantém atividade pecuária e de cultivo de caju. (docs. 10/17)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Demonstra-se, mais, que no situado endereço funciona, há anos, uma fábrica de extração da castanha de caju. (docs. 18/22)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Desta sorte, não há qualquer dúvida que a Autora seja possuidora direta do imóvel turbado.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3.3.2. Da turbação praticada pelo Réu – CPC/2015, art. 561, inc. II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O quadro fático em enfoque representa nítido ato de turbação, não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de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esbulho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>. É que, segundo melhor doutrina, na turbação, em que pese o ato molestador, o possuidor conserva-se na posse do bem. Não é o caso, lógico.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Sem maiores dificuldades verificamos que a Ré pratica ato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deturbação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, como a propósito lecionam Cristiano Chaves de Farias e Nelson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Rosenvald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>: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“Se o esbulho há efetiva privação do exercício direto da posse sobre a coisa, muitas vezes pode o possuidor ser perturbado ou severamente incomodado no exercício da posse, sem que tal agressão seja intensa o suficiente para excluí-lo do poder físico sobre o bem. O interdito da manutenção de posse pretende exatamente interromper a prática dos atos de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turbação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, impondo-se ao causador da moléstia a obrigação de abster-se da prática de atos contrários ao pleno exercício livre da posse do autor, garantindo a permanência do estado de fato.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Daí que a distinção entre a reintegração de posse e a manutenção de posse se insere na intensidade da agressão, pois a turbação é menor ofensiva que o esbulho, eis que não priva o possuidor do poder fático sobre o bem. “(FARIAS, Cristiano Chaves de; ROSENVALD, Nélson.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Direitos Reais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. 6ª Ed. Rio de Janeiro: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Lumen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Juris, 2010. Pág. 130-131)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A propósito, reza a Legislação Substantiva Civil que: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CÓDIGO CIVIL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Art. 1210 – O possuidor tem o direito a ser mantido na posse em caso de turbação, restituído no de esbulho e segurado de violência iminente, se tiver justo receio de ser molestado.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Nesse sentido: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> 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CIVIL E PROCESSO CIVIL. APELAÇÃO CÍVEL. MANUTENÇÃO DE POSSE. IMÓVEL. DESFAZIMENTO DE ACORDO DE CONCESSÃO DE PASSAGEM. NOTIFICAÇÃO. TURBAÇÃO. CARACTERIZAÇÃO.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1.Não merece reparo sentença que concedeu a manutenção de posse de imóvel cuja turbação ficou caracterizada após notificação com prazo razoável para que os réus buscassem outro caminho para acessar o seu imóvel.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2.Patente a turbação da posse uma vez que não se trata de imóvel encravado e existe outra passagem de acesso dos apelantes para o seu prédio.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3.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Demonstrada a presença dos requisitos insculpidos nos preceptivos dos artigos 927 [CPC/2015, art. 927] e 928 [CPC/2015, art. 562], do Código de Processo Civil, a medida possessória deve ser concedida initio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littis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>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4. Recurso desprovido. (TJDF -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Rec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2011.08.1.000592-8; Ac. 588.761; Terceira Turma Cível; Rel. Des. Mario-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Zam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Belmiro; DJDFTE 04/06/2012; Pág. 119)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DIREITO PROCESSUAL CIVIL E CIVIL. AÇÃO DE MANUTENÇÃO DE POSSE. ATO TURBATIVO. AMEAÇA DE RETIRADA DE MURO. REQUISITOS DOS ARTIGOS 927 E 928 DO CPC. COMPROVAÇÃO. APELAÇÃO CONHECIDA</w:t>
      </w:r>
      <w:proofErr w:type="gramStart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MAS</w:t>
      </w:r>
      <w:proofErr w:type="gram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IMPROVIDA.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266FD2">
        <w:rPr>
          <w:rFonts w:ascii="Arial" w:hAnsi="Arial" w:cs="Arial"/>
          <w:bCs/>
          <w:color w:val="000000"/>
          <w:sz w:val="24"/>
          <w:szCs w:val="24"/>
        </w:rPr>
        <w:t>1</w:t>
      </w:r>
      <w:proofErr w:type="gram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A ação de manutenção de posse visa garantir o possuidor na posse ameaçada, em caso de turbação, e esta deve ser entendida como a injusta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molestação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ou ameaça de privação da posse sofrida por alguém que a vinha exercendo de forma mansa e pacífica.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2 Preceituam os artigos 927 [CPC/2015, art. 561] de 928 do CPC [CPC/2015, art. 562] que a ação de manutenção de posse se prende à prova da posse do autor, à turbação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>praticada pelo réu, à data em que esta ocorreu e à continuação da posse, embora turbada. Provados tais requisitos, é de rigor a concessão da medida.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3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No caso em deslinde, os elementos restaram comprovados através dos depoimentos das testemunhas dos litigantes, devendo ser mantidos na posse os apelados.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266FD2">
        <w:rPr>
          <w:rFonts w:ascii="Arial" w:hAnsi="Arial" w:cs="Arial"/>
          <w:bCs/>
          <w:color w:val="000000"/>
          <w:sz w:val="24"/>
          <w:szCs w:val="24"/>
        </w:rPr>
        <w:t>4</w:t>
      </w:r>
      <w:proofErr w:type="gram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 Apelação conhecida mas improvida. (TJCE - AC 0047449</w:t>
      </w:r>
      <w:r w:rsidRPr="00266FD2">
        <w:rPr>
          <w:rFonts w:ascii="Arial" w:hAnsi="Arial" w:cs="Arial"/>
          <w:bCs/>
          <w:color w:val="000000"/>
          <w:sz w:val="24"/>
          <w:szCs w:val="24"/>
        </w:rPr>
        <w:softHyphen/>
        <w:t xml:space="preserve">02.2006.8.06.0001; Quinta Câmara Cível;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Relª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Desª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Sérgia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Maria Mendonça Miranda; DJCE 30/05/2012; Pág. 58)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AGRAVO DE INSTRUMENTO. AÇÃO DE MANUTENÇÃO DE POSSE. VIGÊNCIA DE LOCAÇÃO. LIMINAR DEFERIDA.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A concessão da liminar em sede manutenção de posse está condicionada a razoável certeza acerca dos requisitos elencados pelo artigo 927, do CPC [CPC/2015, art. 561]. No caso, demonstrada a posse do agravado, a possível turbação ocorrida considerando a vigência do contrato de locação, de rigor a manutenção da medida deferida no juízo de origem. Agravo de instrumento desprovido. (TJRS - AI 23046-91.2012.8.21.7000; Tramandaí; Décima Sexta Câmara Cível; Rel. Des. Marco Aurélio dos Santos Caminha;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Julg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>. 17/05/2012; DJERS 22/05/2012)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 3.3.3. Da data da turbação – CPC, art. 561, inc. III</w:t>
      </w:r>
    </w:p>
    <w:p w:rsidR="00266FD2" w:rsidRPr="00266FD2" w:rsidRDefault="00266FD2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Temos que o Réu fora notificado na data de 11/22/3333 e, nesta notificação, frisou-se a data da última turbação, ou seja, em 55/33/1111. (doc. 32) Ademais, da ata notarial podemos extrair tais assertivas (CPC/2015, art. 384).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>Quanto à data para efeito de turbação, sob a égide das lições de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Carlos Roberto Gonçalves, temos que: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41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“Quando reiterados os atos de turbação, sem que exista nexo de causalidade entre eles, a cada um pode corresponder uma ação, fluindo o prazo de ano e dia da data em que se verifica o respectivo ato. Examine-se exemplo ministrado por VICENTE RAÓ, citado por WASHINGTON DE BARROS MONTEIRO: ‘Um vizinho penetra na minha fazenda uma, duas, cinco vezes, a fim de extrair lenha. Cada um desses atos, isoladamente, ofende minha posse e contra cada um deles posso pedir manutenção. Suposto que decorrido haja o prazo de ano e dia a conta do primeiro ato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turbativo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>, nem por isso perderei o direito de recorrer ao interdito, para me opor às turbações subsequentes, verificadas dentro do prazo legal.”. “(GONÇALVES, Carlos Roberto.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Direito Civil Brasileiro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. São Paulo: Saraiva, 2006, vol. 5. Pág. 136)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3.3.4. Da continuação da posse – CPC/2015, art. 561, inc. IV</w:t>
      </w:r>
    </w:p>
    <w:p w:rsidR="00266FD2" w:rsidRPr="00266FD2" w:rsidRDefault="00266FD2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Todo o relato fático e, mais, a prova documental carreada com esta peça vestibular, indicam que a Autora ainda detém a posse do imóvel turbado, todavia sendo molestada pelo Réu em face das invasões perpetradas.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3.4. Do pleito de medida liminar (CPC/2015, art. 562, </w:t>
      </w:r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caput</w:t>
      </w: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>A Autora faz jus à medida liminar de manutenção de posse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inaudita altera parte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. (CPC/2015, art. 562,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caput 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c/c 563)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A presente peça vestibular encontra-se devida instruída prova documental robusta, prova esta pertinente aos pressupostos estatuídos no art. 561 e seus incisos do Estatuto de Ritos.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Frise-se, mais, que na hipótese em vertente não que se falar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em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periculum</w:t>
      </w:r>
      <w:proofErr w:type="spellEnd"/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in mora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. É que, como consabido, a hipótese não reclama pleito com função acautelatória. Pelo contrário, aqui se debruça acerca do direito objetivo material.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Nesse diapasão,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provados a turbação e sua data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 (força nova), há de ser concedida a medida liminar, independentemente da oitiva preliminar da parte promovida. Não há que se falar, portanto, em ato discricionário quanto à concessão desta medida judicial.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Nesse sentido: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AGRAVO DE INSTRUMENTO. MANUTENÇÃO DE POSSE. PEDIDO DE LIMINAR. DEMONSTRAÇÃO DOS REQUISITOS DO ARTIGO 927 DO CÓDIGO DE PROCESSO CIVIL. DEFERIMENTO DE LIMINAR QUE NÃO MERECE REPAROS. RECURSO DESPROVIDO.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Presentes os requisitos do artigo 927 do CPC [CPC/2015, art. 561], eis que demonstrada a posse, a turbação, a data da turbação e a continuação da posse, embora turbada, correto o deferimento de liminar de manutenção da autora na posse do bem. (TJMT - AI 96540/2011; Juscimeira; Sexta Câmara Cível; Rel. Des. Juracy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Persiani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Julg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>. 23/05/2012; DJMT 30/05/2012; Pág. 70)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Destarte, pede a Autora seja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deferidamedida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liminar de manutenção de posse no imóvel descrito nesta peça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proemial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, sem a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outiva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prévia da parte contrária, a ser cumprida por dois oficiais de justiça, facultando-lhes a utilização de força policial e ordem de arrombamento.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Sucessivamente (CPC/2015, art. 326), caso assim não entenda Vossa Excelência, o que se diz apenas por argumentar, de já a Autora destaca o rol de testemunhas, na eventual hipótese de audiência prévia de justificação. (CPC/2015,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art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562, 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segunda parte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55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1) Fulano das Quantas, casado, corretor de imóveis, residente e domiciliado na Rua </w:t>
      </w:r>
      <w:proofErr w:type="spellStart"/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Xista</w:t>
      </w:r>
      <w:proofErr w:type="spellEnd"/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nº. 4455, em </w:t>
      </w:r>
      <w:r w:rsidR="00266FD2"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Cidade/UF</w:t>
      </w:r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;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552"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55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2) Beltrano das Quantas, casado, corretor de imóveis, residente e domiciliado na Rua </w:t>
      </w:r>
      <w:proofErr w:type="spellStart"/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Xista</w:t>
      </w:r>
      <w:proofErr w:type="spellEnd"/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nº. 4455, em </w:t>
      </w:r>
      <w:r w:rsidR="00266FD2"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Cidade/UF.</w:t>
      </w:r>
    </w:p>
    <w:p w:rsidR="00266FD2" w:rsidRPr="00266FD2" w:rsidRDefault="00266FD2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Requer-se, ainda no importe do pleito sucessivo, a citação do Réu</w:t>
      </w:r>
      <w:r w:rsidR="00266FD2" w:rsidRPr="00266FD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para comparecer à audiência de justificação (CPC/2015, art. 562, 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segunda parte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) e a intimação das testemunhas também para esta finalidade processual e, ademais, provado o quadro fático ora narrado, de logo pleiteia-se o deferimento da medida liminar de manutenção de posse. (CPC/2015, art. 563)</w:t>
      </w:r>
    </w:p>
    <w:p w:rsidR="00956D07" w:rsidRPr="00266FD2" w:rsidRDefault="00956D07" w:rsidP="00266FD2">
      <w:pPr>
        <w:autoSpaceDE w:val="0"/>
        <w:autoSpaceDN w:val="0"/>
        <w:adjustRightInd w:val="0"/>
        <w:spacing w:before="120" w:after="120" w:line="360" w:lineRule="auto"/>
        <w:ind w:left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3.5. Pedido cominatório de multa (CPC/2015, art. 555, parágrafo único, inc. I)</w:t>
      </w:r>
    </w:p>
    <w:p w:rsid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Com a finalidade de se evitar novas turbações do Réu, a Autora pede que seja imposta ao mesmo a pena cominatória de R$ 1.000,00 (mil reais) por cada nova turbação constatada.                   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                      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/>
          <w:bCs/>
          <w:color w:val="000000"/>
          <w:sz w:val="24"/>
          <w:szCs w:val="24"/>
        </w:rPr>
        <w:t> IV – DOS PEDIDOS E REQUERIMENTOS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> 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  <w:r w:rsidRPr="00266F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POSTO ISSO</w:t>
      </w:r>
      <w:r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>,</w:t>
      </w:r>
      <w:r w:rsidR="00266FD2" w:rsidRPr="00266F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266FD2">
        <w:rPr>
          <w:rFonts w:ascii="Arial" w:hAnsi="Arial" w:cs="Arial"/>
          <w:bCs/>
          <w:color w:val="000000"/>
          <w:sz w:val="24"/>
          <w:szCs w:val="24"/>
        </w:rPr>
        <w:t>estando a inicial devidamente instruída, a Autora solicita que Vossa Excelência se digne de tomar as seguintes providências: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a) Requer, após cumprida a medida liminar em ensejo, a citação da Ré para, no prazo de cinco dias, querendo, contestar a ação (NCPC, art. 564);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 b) pede, mais, sejam julgados procedentes os pedidos formulados na presente ação, confirmando-se por definitivo a medida liminar antes conferida e </w:t>
      </w:r>
      <w:proofErr w:type="spellStart"/>
      <w:r w:rsidRPr="00266FD2">
        <w:rPr>
          <w:rFonts w:ascii="Arial" w:hAnsi="Arial" w:cs="Arial"/>
          <w:bCs/>
          <w:color w:val="000000"/>
          <w:sz w:val="24"/>
          <w:szCs w:val="24"/>
        </w:rPr>
        <w:t>manutenindo</w:t>
      </w:r>
      <w:proofErr w:type="spell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na posse a Autora, condenando a parte Ré a não fazer novas turbações, </w:t>
      </w:r>
      <w:proofErr w:type="gramStart"/>
      <w:r w:rsidRPr="00266FD2">
        <w:rPr>
          <w:rFonts w:ascii="Arial" w:hAnsi="Arial" w:cs="Arial"/>
          <w:bCs/>
          <w:color w:val="000000"/>
          <w:sz w:val="24"/>
          <w:szCs w:val="24"/>
        </w:rPr>
        <w:t>sob pena</w:t>
      </w:r>
      <w:proofErr w:type="gramEnd"/>
      <w:r w:rsidRPr="00266FD2">
        <w:rPr>
          <w:rFonts w:ascii="Arial" w:hAnsi="Arial" w:cs="Arial"/>
          <w:bCs/>
          <w:color w:val="000000"/>
          <w:sz w:val="24"/>
          <w:szCs w:val="24"/>
        </w:rPr>
        <w:t xml:space="preserve"> de pagamento de multa, por cada uma, no importe de R$ 1.000,00 (mil reais)I;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c) pede, outrossim, seja o Réu seja condenado ao pagamento de honorários advocatícios e custas processuais, esses arbitrados no percentual de 20%(vinte por cento) sobre o valor da causa (CPC/2015, art. 85, § 2º);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d) entende a Autora que o resultado da demanda prescinde de produção de provas, tendo em conta a prova documental colacionada aos autos. Todavia, ressalva a mesma que, caso esse não seja o entendimento de Vossa Excelência, protesta provar o alegado por todos os meios de prova em direitos admitidos, por mais especiais que sejam, sobretudo com a oitiva das testemunhas ora arroladas, perícia, depoimento pessoal do Promovido, o que desde já requer, sob pena de confissão.</w:t>
      </w:r>
    </w:p>
    <w:p w:rsidR="00956D07" w:rsidRPr="00266FD2" w:rsidRDefault="00956D0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DD746D" w:rsidRPr="00266FD2" w:rsidRDefault="00DD746D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D746D" w:rsidRPr="00266FD2" w:rsidRDefault="00DD746D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e) a produção de todas as provas em direito admitidas, na amplitude dos artigos 369 e seguintes do NCPC, em especial as provas: documental, pericial, testemunhal e depoimento pessoal da parte ré.</w:t>
      </w:r>
    </w:p>
    <w:p w:rsidR="00DD746D" w:rsidRPr="00266FD2" w:rsidRDefault="00DD746D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D746D" w:rsidRPr="00266FD2" w:rsidRDefault="00DD746D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t>Valor da causa: R$</w:t>
      </w:r>
    </w:p>
    <w:p w:rsidR="00811EC5" w:rsidRPr="00266FD2" w:rsidRDefault="0014126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66FD2">
        <w:rPr>
          <w:rFonts w:ascii="Arial" w:hAnsi="Arial" w:cs="Arial"/>
          <w:bCs/>
          <w:color w:val="000000"/>
          <w:sz w:val="24"/>
          <w:szCs w:val="24"/>
        </w:rPr>
        <w:lastRenderedPageBreak/>
        <w:t>Dá-se à presente o valor de R$... (...)</w:t>
      </w:r>
    </w:p>
    <w:p w:rsidR="00141267" w:rsidRPr="00266FD2" w:rsidRDefault="00141267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eastAsia="ArialMT" w:hAnsi="Arial" w:cs="Arial"/>
          <w:iCs/>
          <w:color w:val="000000"/>
          <w:sz w:val="24"/>
          <w:szCs w:val="24"/>
        </w:rPr>
      </w:pPr>
    </w:p>
    <w:p w:rsidR="004B2F7F" w:rsidRPr="00266FD2" w:rsidRDefault="004A7BCE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eastAsia="ArialMT" w:hAnsi="Arial" w:cs="Arial"/>
          <w:iCs/>
          <w:color w:val="000000"/>
          <w:sz w:val="24"/>
          <w:szCs w:val="24"/>
        </w:rPr>
      </w:pPr>
      <w:r w:rsidRPr="00266FD2">
        <w:rPr>
          <w:rFonts w:ascii="Arial" w:eastAsia="ArialMT" w:hAnsi="Arial" w:cs="Arial"/>
          <w:iCs/>
          <w:color w:val="000000"/>
          <w:sz w:val="24"/>
          <w:szCs w:val="24"/>
        </w:rPr>
        <w:t xml:space="preserve">Termos em que </w:t>
      </w:r>
      <w:r w:rsidR="004B2F7F" w:rsidRPr="00266FD2">
        <w:rPr>
          <w:rFonts w:ascii="Arial" w:eastAsia="ArialMT" w:hAnsi="Arial" w:cs="Arial"/>
          <w:iCs/>
          <w:color w:val="000000"/>
          <w:sz w:val="24"/>
          <w:szCs w:val="24"/>
        </w:rPr>
        <w:t>pede deferimento</w:t>
      </w:r>
    </w:p>
    <w:p w:rsidR="004B2F7F" w:rsidRPr="00266FD2" w:rsidRDefault="004A7BCE" w:rsidP="00CF740B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Arial" w:eastAsia="ArialMT" w:hAnsi="Arial" w:cs="Arial"/>
          <w:iCs/>
          <w:color w:val="000000"/>
          <w:sz w:val="24"/>
          <w:szCs w:val="24"/>
        </w:rPr>
      </w:pPr>
      <w:r w:rsidRPr="00266FD2">
        <w:rPr>
          <w:rFonts w:ascii="Arial" w:eastAsia="ArialMT" w:hAnsi="Arial" w:cs="Arial"/>
          <w:iCs/>
          <w:color w:val="000000"/>
          <w:sz w:val="24"/>
          <w:szCs w:val="24"/>
        </w:rPr>
        <w:t xml:space="preserve">Local, </w:t>
      </w:r>
      <w:r w:rsidR="004B2F7F" w:rsidRPr="00266FD2">
        <w:rPr>
          <w:rFonts w:ascii="Arial" w:eastAsia="ArialMT" w:hAnsi="Arial" w:cs="Arial"/>
          <w:iCs/>
          <w:color w:val="000000"/>
          <w:sz w:val="24"/>
          <w:szCs w:val="24"/>
        </w:rPr>
        <w:t>Data</w:t>
      </w:r>
    </w:p>
    <w:p w:rsidR="00FF22C0" w:rsidRPr="00266FD2" w:rsidRDefault="004B2F7F" w:rsidP="00CF740B">
      <w:pPr>
        <w:spacing w:before="120" w:after="120"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266FD2">
        <w:rPr>
          <w:rFonts w:ascii="Arial" w:eastAsia="ArialMT" w:hAnsi="Arial" w:cs="Arial"/>
          <w:b/>
          <w:iCs/>
          <w:color w:val="000000"/>
          <w:sz w:val="24"/>
          <w:szCs w:val="24"/>
        </w:rPr>
        <w:t>Advogado (OAB)</w:t>
      </w:r>
    </w:p>
    <w:sectPr w:rsidR="00FF22C0" w:rsidRPr="00266FD2" w:rsidSect="001E19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6A" w:rsidRDefault="005D456A" w:rsidP="00EB7CC7">
      <w:pPr>
        <w:spacing w:after="0" w:line="240" w:lineRule="auto"/>
      </w:pPr>
      <w:r>
        <w:separator/>
      </w:r>
    </w:p>
  </w:endnote>
  <w:endnote w:type="continuationSeparator" w:id="0">
    <w:p w:rsidR="005D456A" w:rsidRDefault="005D456A" w:rsidP="00EB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C7" w:rsidRDefault="00EB7C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C7" w:rsidRDefault="00EB7C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C7" w:rsidRDefault="00EB7C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6A" w:rsidRDefault="005D456A" w:rsidP="00EB7CC7">
      <w:pPr>
        <w:spacing w:after="0" w:line="240" w:lineRule="auto"/>
      </w:pPr>
      <w:r>
        <w:separator/>
      </w:r>
    </w:p>
  </w:footnote>
  <w:footnote w:type="continuationSeparator" w:id="0">
    <w:p w:rsidR="005D456A" w:rsidRDefault="005D456A" w:rsidP="00EB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C7" w:rsidRDefault="00EB7C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72607" o:spid="_x0000_s2050" type="#_x0000_t75" style="position:absolute;margin-left:0;margin-top:0;width:424.75pt;height:89.65pt;z-index:-251657216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C7" w:rsidRDefault="00EB7C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72608" o:spid="_x0000_s2051" type="#_x0000_t75" style="position:absolute;margin-left:0;margin-top:0;width:424.75pt;height:89.65pt;z-index:-251656192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C7" w:rsidRDefault="00EB7C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72606" o:spid="_x0000_s2049" type="#_x0000_t75" style="position:absolute;margin-left:0;margin-top:0;width:424.75pt;height:89.65pt;z-index:-251658240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7459"/>
    <w:multiLevelType w:val="hybridMultilevel"/>
    <w:tmpl w:val="2D00E562"/>
    <w:lvl w:ilvl="0" w:tplc="8EC24748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3A8"/>
    <w:rsid w:val="00034375"/>
    <w:rsid w:val="00141267"/>
    <w:rsid w:val="001E193F"/>
    <w:rsid w:val="001E4499"/>
    <w:rsid w:val="00237CEC"/>
    <w:rsid w:val="00266FD2"/>
    <w:rsid w:val="002B4388"/>
    <w:rsid w:val="002C43A8"/>
    <w:rsid w:val="00331502"/>
    <w:rsid w:val="00423A23"/>
    <w:rsid w:val="004A7BCE"/>
    <w:rsid w:val="004B2F7F"/>
    <w:rsid w:val="00567A8E"/>
    <w:rsid w:val="005D456A"/>
    <w:rsid w:val="00607AE8"/>
    <w:rsid w:val="00621702"/>
    <w:rsid w:val="0062240E"/>
    <w:rsid w:val="00650D70"/>
    <w:rsid w:val="006F7387"/>
    <w:rsid w:val="007B717D"/>
    <w:rsid w:val="007E716B"/>
    <w:rsid w:val="00811EC5"/>
    <w:rsid w:val="00832EC0"/>
    <w:rsid w:val="00923A59"/>
    <w:rsid w:val="00956D07"/>
    <w:rsid w:val="00A44A38"/>
    <w:rsid w:val="00B87463"/>
    <w:rsid w:val="00B937C4"/>
    <w:rsid w:val="00CF740B"/>
    <w:rsid w:val="00D42EA1"/>
    <w:rsid w:val="00DA1C90"/>
    <w:rsid w:val="00DD746D"/>
    <w:rsid w:val="00E513F0"/>
    <w:rsid w:val="00EA5492"/>
    <w:rsid w:val="00EB7CC7"/>
    <w:rsid w:val="00EE000E"/>
    <w:rsid w:val="00F56896"/>
    <w:rsid w:val="00FD6B4C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00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11E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23A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D0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B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7CC7"/>
  </w:style>
  <w:style w:type="paragraph" w:styleId="Rodap">
    <w:name w:val="footer"/>
    <w:basedOn w:val="Normal"/>
    <w:link w:val="RodapChar"/>
    <w:uiPriority w:val="99"/>
    <w:unhideWhenUsed/>
    <w:rsid w:val="00EB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7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1869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292566823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2045521155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1930625672">
          <w:marLeft w:val="708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37824863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1763909281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548617311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431973356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1870530974">
          <w:marLeft w:val="708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85801786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1235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8525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2088113474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89354577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1791970157">
          <w:marLeft w:val="708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54688278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1155682597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166553571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116720814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  <w:div w:id="2102217301">
          <w:marLeft w:val="708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43814391">
          <w:marLeft w:val="70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2059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D89B-3F48-40AB-B12D-04446BAC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2916</Words>
  <Characters>15750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2016-05-30T02:04:00Z</dcterms:created>
  <dcterms:modified xsi:type="dcterms:W3CDTF">2020-12-04T19:15:00Z</dcterms:modified>
</cp:coreProperties>
</file>