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380" w:rsidRDefault="00D62DC8" w:rsidP="00F86380">
      <w:pPr>
        <w:spacing w:before="120" w:after="120" w:line="360" w:lineRule="auto"/>
        <w:jc w:val="both"/>
      </w:pPr>
      <w:r>
        <w:rPr>
          <w:rFonts w:ascii="Arial" w:hAnsi="Arial" w:cs="Arial"/>
          <w:b/>
          <w:bCs/>
          <w:color w:val="000000"/>
          <w:sz w:val="24"/>
          <w:szCs w:val="24"/>
        </w:rPr>
        <w:t>AO JUÍZO DA</w:t>
      </w:r>
      <w:proofErr w:type="gramStart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proofErr w:type="gramEnd"/>
      <w:r w:rsidR="00F86380" w:rsidRPr="008E1D63">
        <w:rPr>
          <w:rFonts w:ascii="Arial" w:hAnsi="Arial" w:cs="Arial"/>
          <w:b/>
          <w:bCs/>
          <w:color w:val="000000"/>
          <w:sz w:val="24"/>
          <w:szCs w:val="24"/>
        </w:rPr>
        <w:t>__ VARA CIVEL DA COMARCA DE XXXX/UF</w:t>
      </w:r>
    </w:p>
    <w:p w:rsidR="00811EC5" w:rsidRPr="00811EC5" w:rsidRDefault="00811EC5" w:rsidP="00D62DC8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bookmarkStart w:id="0" w:name="_GoBack"/>
      <w:bookmarkEnd w:id="0"/>
    </w:p>
    <w:p w:rsidR="00811EC5" w:rsidRPr="00811EC5" w:rsidRDefault="00811EC5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6F7387" w:rsidRDefault="00A2079C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86380">
        <w:rPr>
          <w:rFonts w:ascii="Arial" w:hAnsi="Arial" w:cs="Arial"/>
          <w:b/>
          <w:bCs/>
          <w:color w:val="000000"/>
          <w:sz w:val="24"/>
          <w:szCs w:val="24"/>
        </w:rPr>
        <w:t>PARTE AUTORA</w:t>
      </w:r>
      <w:r w:rsidR="00FD6B4C">
        <w:rPr>
          <w:rFonts w:ascii="Arial" w:hAnsi="Arial" w:cs="Arial"/>
          <w:bCs/>
          <w:color w:val="000000"/>
          <w:sz w:val="24"/>
          <w:szCs w:val="24"/>
        </w:rPr>
        <w:t>,</w:t>
      </w:r>
      <w:r w:rsidR="0014126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A2079C">
        <w:rPr>
          <w:rFonts w:ascii="Arial" w:hAnsi="Arial" w:cs="Arial"/>
          <w:bCs/>
          <w:color w:val="000000"/>
          <w:sz w:val="24"/>
          <w:szCs w:val="24"/>
        </w:rPr>
        <w:t>pessoa jurídica de direito privado, inscrita no CNPJ(MF) sob o nº</w:t>
      </w:r>
      <w:r>
        <w:rPr>
          <w:rFonts w:ascii="Arial" w:hAnsi="Arial" w:cs="Arial"/>
          <w:bCs/>
          <w:color w:val="000000"/>
          <w:sz w:val="24"/>
          <w:szCs w:val="24"/>
        </w:rPr>
        <w:t>...,</w:t>
      </w:r>
      <w:r w:rsidRPr="00A2079C">
        <w:rPr>
          <w:rFonts w:ascii="Arial" w:hAnsi="Arial" w:cs="Arial"/>
          <w:bCs/>
          <w:color w:val="000000"/>
          <w:sz w:val="24"/>
          <w:szCs w:val="24"/>
        </w:rPr>
        <w:t xml:space="preserve"> com sua sede </w:t>
      </w:r>
      <w:r w:rsidR="00141267">
        <w:rPr>
          <w:rFonts w:ascii="Arial" w:hAnsi="Arial" w:cs="Arial"/>
          <w:bCs/>
          <w:color w:val="000000"/>
          <w:sz w:val="24"/>
          <w:szCs w:val="24"/>
        </w:rPr>
        <w:t>em...</w:t>
      </w:r>
      <w:r w:rsidR="00141267" w:rsidRPr="00141267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="00141267">
        <w:rPr>
          <w:rFonts w:ascii="Arial" w:hAnsi="Arial" w:cs="Arial"/>
          <w:bCs/>
          <w:color w:val="000000"/>
          <w:sz w:val="24"/>
          <w:szCs w:val="24"/>
        </w:rPr>
        <w:t xml:space="preserve">endereço eletrônico, </w:t>
      </w:r>
      <w:r w:rsidR="00141267" w:rsidRPr="00141267">
        <w:rPr>
          <w:rFonts w:ascii="Arial" w:hAnsi="Arial" w:cs="Arial"/>
          <w:bCs/>
          <w:color w:val="000000"/>
          <w:sz w:val="24"/>
          <w:szCs w:val="24"/>
        </w:rPr>
        <w:t xml:space="preserve">por seu advogado abaixo subscrito, conforme procuração anexa, </w:t>
      </w:r>
      <w:r w:rsidR="00141267" w:rsidRPr="00141267">
        <w:rPr>
          <w:rFonts w:ascii="Arial" w:hAnsi="Arial" w:cs="Arial"/>
          <w:b/>
          <w:bCs/>
          <w:color w:val="000000"/>
          <w:sz w:val="24"/>
          <w:szCs w:val="24"/>
        </w:rPr>
        <w:t>(doc. 01)</w:t>
      </w:r>
      <w:r w:rsidR="00141267" w:rsidRPr="00141267">
        <w:rPr>
          <w:rFonts w:ascii="Arial" w:hAnsi="Arial" w:cs="Arial"/>
          <w:bCs/>
          <w:color w:val="000000"/>
          <w:sz w:val="24"/>
          <w:szCs w:val="24"/>
        </w:rPr>
        <w:t xml:space="preserve">, com endereço profissional (completo), para fins do </w:t>
      </w:r>
      <w:r w:rsidR="00141267" w:rsidRPr="00141267">
        <w:rPr>
          <w:rFonts w:ascii="Arial" w:hAnsi="Arial" w:cs="Arial"/>
          <w:b/>
          <w:bCs/>
          <w:color w:val="000000"/>
          <w:sz w:val="24"/>
          <w:szCs w:val="24"/>
        </w:rPr>
        <w:t>art. 106, I, do</w:t>
      </w:r>
      <w:r w:rsidR="00141267" w:rsidRPr="0014126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41267" w:rsidRPr="00141267">
        <w:rPr>
          <w:rFonts w:ascii="Arial" w:hAnsi="Arial" w:cs="Arial"/>
          <w:b/>
          <w:bCs/>
          <w:color w:val="000000"/>
          <w:sz w:val="24"/>
          <w:szCs w:val="24"/>
        </w:rPr>
        <w:t>Novo Código de Processo Civil</w:t>
      </w:r>
      <w:r w:rsidR="00141267" w:rsidRPr="00141267">
        <w:rPr>
          <w:rFonts w:ascii="Arial" w:hAnsi="Arial" w:cs="Arial"/>
          <w:bCs/>
          <w:color w:val="000000"/>
          <w:sz w:val="24"/>
          <w:szCs w:val="24"/>
        </w:rPr>
        <w:t>, vem mui respeitosamente,</w:t>
      </w:r>
      <w:r w:rsidRPr="00A2079C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0323F4" w:rsidRPr="00F4688F">
        <w:rPr>
          <w:rFonts w:ascii="Arial" w:hAnsi="Arial" w:cs="Arial"/>
          <w:bCs/>
          <w:color w:val="000000"/>
          <w:sz w:val="24"/>
          <w:szCs w:val="24"/>
        </w:rPr>
        <w:t>com fulcro nos a</w:t>
      </w:r>
      <w:r w:rsidR="000323F4">
        <w:rPr>
          <w:rFonts w:ascii="Arial" w:hAnsi="Arial" w:cs="Arial"/>
          <w:bCs/>
          <w:color w:val="000000"/>
          <w:sz w:val="24"/>
          <w:szCs w:val="24"/>
        </w:rPr>
        <w:t>rt. 560 e segs. c/c art. 558, da</w:t>
      </w:r>
      <w:r w:rsidR="000323F4" w:rsidRPr="00F4688F">
        <w:rPr>
          <w:rFonts w:ascii="Arial" w:hAnsi="Arial" w:cs="Arial"/>
          <w:bCs/>
          <w:color w:val="000000"/>
          <w:sz w:val="24"/>
          <w:szCs w:val="24"/>
        </w:rPr>
        <w:t xml:space="preserve"> Nova Legislação Adjetiva Civil e art. 1210 do Código Civil</w:t>
      </w:r>
      <w:r w:rsidRPr="00A2079C">
        <w:rPr>
          <w:rFonts w:ascii="Arial" w:hAnsi="Arial" w:cs="Arial"/>
          <w:bCs/>
          <w:color w:val="000000"/>
          <w:sz w:val="24"/>
          <w:szCs w:val="24"/>
        </w:rPr>
        <w:t>,</w:t>
      </w:r>
      <w:r w:rsidR="00141267" w:rsidRPr="00141267">
        <w:rPr>
          <w:rFonts w:ascii="Arial" w:hAnsi="Arial" w:cs="Arial"/>
          <w:bCs/>
          <w:color w:val="000000"/>
          <w:sz w:val="24"/>
          <w:szCs w:val="24"/>
        </w:rPr>
        <w:t xml:space="preserve"> perante Vossa Excelência, </w:t>
      </w:r>
      <w:r w:rsidR="006F7387" w:rsidRPr="006F7387">
        <w:rPr>
          <w:rFonts w:ascii="Arial" w:hAnsi="Arial" w:cs="Arial"/>
          <w:bCs/>
          <w:color w:val="000000"/>
          <w:sz w:val="24"/>
          <w:szCs w:val="24"/>
        </w:rPr>
        <w:t>propor à competente</w:t>
      </w:r>
      <w:r w:rsidR="00FD6B4C"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FD6B4C" w:rsidRPr="006F7387" w:rsidRDefault="00FD6B4C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AÇÃO DE MANUNTENÇÃO DE POSSE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C/C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“PLEITO COMINATÓRIO” E PEDIDO DE “MEDIDA LIMINAR”</w:t>
      </w:r>
    </w:p>
    <w:p w:rsidR="00F4688F" w:rsidRPr="00762FFA" w:rsidRDefault="00F4688F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4688F" w:rsidRDefault="00F4688F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  <w:proofErr w:type="gramStart"/>
      <w:r w:rsidR="000323F4" w:rsidRPr="00762FFA">
        <w:rPr>
          <w:rFonts w:ascii="Arial" w:hAnsi="Arial" w:cs="Arial"/>
          <w:bCs/>
          <w:color w:val="000000"/>
          <w:sz w:val="24"/>
          <w:szCs w:val="24"/>
        </w:rPr>
        <w:t>c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ontra</w:t>
      </w:r>
      <w:proofErr w:type="gramEnd"/>
      <w:r w:rsidR="000323F4" w:rsidRPr="00762FF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0323F4" w:rsidRPr="00F86380">
        <w:rPr>
          <w:rFonts w:ascii="Arial" w:hAnsi="Arial" w:cs="Arial"/>
          <w:b/>
          <w:bCs/>
          <w:color w:val="000000"/>
          <w:sz w:val="24"/>
          <w:szCs w:val="24"/>
        </w:rPr>
        <w:t>PARTE RÉ</w:t>
      </w:r>
      <w:r w:rsidR="000323F4" w:rsidRPr="00762FFA">
        <w:rPr>
          <w:rFonts w:ascii="Arial" w:hAnsi="Arial" w:cs="Arial"/>
          <w:bCs/>
          <w:color w:val="000000"/>
          <w:sz w:val="24"/>
          <w:szCs w:val="24"/>
        </w:rPr>
        <w:t>,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pessoa jurídica de direito privado,estabelecida na </w:t>
      </w:r>
      <w:r w:rsidR="000323F4" w:rsidRPr="00762FFA">
        <w:rPr>
          <w:rFonts w:ascii="Arial" w:hAnsi="Arial" w:cs="Arial"/>
          <w:bCs/>
          <w:color w:val="000000"/>
          <w:sz w:val="24"/>
          <w:szCs w:val="24"/>
        </w:rPr>
        <w:t>...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 </w:t>
      </w:r>
      <w:r w:rsidR="000323F4" w:rsidRPr="00762FFA">
        <w:rPr>
          <w:rFonts w:ascii="Arial" w:hAnsi="Arial" w:cs="Arial"/>
          <w:bCs/>
          <w:iCs/>
          <w:color w:val="000000"/>
          <w:sz w:val="24"/>
          <w:szCs w:val="24"/>
        </w:rPr>
        <w:t>inscrita no CNPJ(MF) sob o nº...,</w:t>
      </w:r>
      <w:r w:rsidRPr="00762FFA">
        <w:rPr>
          <w:rFonts w:ascii="Arial" w:hAnsi="Arial" w:cs="Arial"/>
          <w:bCs/>
          <w:iCs/>
          <w:color w:val="000000"/>
          <w:sz w:val="24"/>
          <w:szCs w:val="24"/>
        </w:rPr>
        <w:t xml:space="preserve"> </w:t>
      </w:r>
      <w:r w:rsidR="000323F4" w:rsidRPr="00762FFA">
        <w:rPr>
          <w:rFonts w:ascii="Arial" w:hAnsi="Arial" w:cs="Arial"/>
          <w:bCs/>
          <w:iCs/>
          <w:color w:val="000000"/>
          <w:sz w:val="24"/>
          <w:szCs w:val="24"/>
        </w:rPr>
        <w:t xml:space="preserve">endereço eletrônico, 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em decorrência das justificativas de ordem fática e de direito abaixo delineadas.</w:t>
      </w:r>
    </w:p>
    <w:p w:rsidR="00762FFA" w:rsidRPr="00762FFA" w:rsidRDefault="00F4688F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I – INTROITO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  <w:u w:val="single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Quanto à audiência de conciliação (CPC/2015, art. 319, inc. VII)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o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Autor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opta pela </w:t>
      </w:r>
      <w:r>
        <w:rPr>
          <w:rFonts w:ascii="Arial" w:hAnsi="Arial" w:cs="Arial"/>
          <w:bCs/>
          <w:color w:val="000000"/>
          <w:sz w:val="24"/>
          <w:szCs w:val="24"/>
          <w:u w:val="single"/>
        </w:rPr>
        <w:t xml:space="preserve">sua 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não realização</w:t>
      </w:r>
      <w:r>
        <w:rPr>
          <w:rFonts w:ascii="Arial" w:hAnsi="Arial" w:cs="Arial"/>
          <w:bCs/>
          <w:color w:val="000000"/>
          <w:sz w:val="24"/>
          <w:szCs w:val="24"/>
          <w:u w:val="single"/>
        </w:rPr>
        <w:t>.</w:t>
      </w:r>
    </w:p>
    <w:p w:rsid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  <w:u w:val="single"/>
        </w:rPr>
      </w:pP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II – CONSIDERAÇÕES FÁTICAS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 A Autora é proprietária e possuidora do imóvel sito na Rua X, nº. 0000, Zona Rural, em Londrina (PR), objeto da matrícula de registro </w:t>
      </w:r>
      <w:r w:rsidRPr="00762FFA">
        <w:rPr>
          <w:rFonts w:ascii="Arial" w:hAnsi="Arial" w:cs="Arial"/>
          <w:bCs/>
          <w:color w:val="000000"/>
          <w:sz w:val="24"/>
          <w:szCs w:val="24"/>
        </w:rPr>
        <w:lastRenderedPageBreak/>
        <w:t>imobiliário nº. 3344. Referido bem fora adquirido em 1998, onde a Promovente pagara, em moeda corrente nacional, a quantia de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R$ 00.000,00 </w:t>
      </w:r>
      <w:proofErr w:type="gramStart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( </w:t>
      </w:r>
      <w:proofErr w:type="gramEnd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.</w:t>
      </w:r>
      <w:proofErr w:type="spellStart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x.x.x</w:t>
      </w:r>
      <w:proofErr w:type="spellEnd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. )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o que se comprova pela cópia da escritura pública e certidão de registro de imóvel, devidamente registrado em nome da Autora.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01/02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Desde então a Autora mantém a posse e propriedade do referido bem, inclusive pagamentos os encargos tributários pertinentes ao mesmo.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03/09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Com o material fotográfico ora acostado, também se demonstra que a Autora mantém atividade pecuária e de cultivo de caju.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10/17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Demonstra-se, mais, que no situado endereço funciona, há anos, uma fábrica de extração da castanha de caju.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18/22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O Réu é confinante com a Autora desde 11/22/3333, onde passou a residir e realizar a criação de cabras para engorda e posterior venda. De logo inserimos prova documental de documentos que comprovam a titularidade do imóvel confinante.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doc. 23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Todavia, há alguns meses o Réu insiste em adentrar no imóvel pertencente à Autora, onde leva sua criação de animais para engorda em uma pastagem nos fundos do imóvel desta. De já se comprova por fotos verificadas em várias ocasiões e, mais,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 xml:space="preserve">ata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notarial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com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depoimentos de pessoas que atestam os fatos, estes presenciados pelo Tabelião, também aqui </w:t>
      </w:r>
      <w:proofErr w:type="gramStart"/>
      <w:r w:rsidRPr="00762FFA">
        <w:rPr>
          <w:rFonts w:ascii="Arial" w:hAnsi="Arial" w:cs="Arial"/>
          <w:bCs/>
          <w:color w:val="000000"/>
          <w:sz w:val="24"/>
          <w:szCs w:val="24"/>
        </w:rPr>
        <w:t>anexada.</w:t>
      </w:r>
      <w:proofErr w:type="gramEnd"/>
      <w:r w:rsidRPr="00762FFA">
        <w:rPr>
          <w:rFonts w:ascii="Arial" w:hAnsi="Arial" w:cs="Arial"/>
          <w:bCs/>
          <w:color w:val="000000"/>
          <w:sz w:val="24"/>
          <w:szCs w:val="24"/>
        </w:rPr>
        <w:t>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24/31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 Desses, constata-se que a última invasão se deu em 55/44/3333.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Em conta desse fato, a Autora notificou o Ré a interromper a invasão de suas terras, sob pena de sofrer ação judicial e pagar indenização pelos danos ocasionados.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doc. 32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Contudo, decorrido o prazo concedido, o Réu quedou-se inerte, continuando, injustamente, a invadir o imóvel.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lastRenderedPageBreak/>
        <w:t>Por tudo isso, não restou à Autora outra alternativa senão buscar seus direitos por meio da presente Ação de Reintegração de Posse. (CPC/2015, art. 17)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III – DO DIREITO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3.1. Da competência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                                                                           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Urge asseverar, primeiramente, que a Autora promove a presente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ação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no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 xml:space="preserve"> foro territorial competente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visto que o imóvel em liça se situa na Rua X, nº. 000, neste Município.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NOVO CÓDIGO DE PROCESSO CIVIL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Art. 47 - Para as ações fundadas em direito real sobre imóveis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é competente o foro de situação da coisa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3.2. Do rito processual desta demanda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Destaca-se que a presente ação fora ajuizada no dia 11/22/3333. De outro bordo, a notificação do Réu para interromper a invasão do imóvel –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portanto, a turbação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– ocorrera no dia 22/33/1111.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doc. 32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 O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rito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destarte, é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especial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uma vez que a ofensa ao direito da Autora ocorrera em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menos de ano e dia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posse nova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left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A propósito, vejamos os seguintes julgados:</w:t>
      </w:r>
    </w:p>
    <w:p w:rsidR="00762FFA" w:rsidRPr="00F86380" w:rsidRDefault="00762FFA" w:rsidP="00F86380">
      <w:pPr>
        <w:autoSpaceDE w:val="0"/>
        <w:autoSpaceDN w:val="0"/>
        <w:adjustRightInd w:val="0"/>
        <w:spacing w:before="120" w:after="120" w:line="240" w:lineRule="auto"/>
        <w:ind w:left="2268"/>
        <w:jc w:val="both"/>
        <w:rPr>
          <w:rFonts w:ascii="Arial" w:hAnsi="Arial" w:cs="Arial"/>
          <w:bCs/>
          <w:color w:val="000000"/>
        </w:rPr>
      </w:pPr>
      <w:r w:rsidRPr="00F86380">
        <w:rPr>
          <w:rFonts w:ascii="Arial" w:hAnsi="Arial" w:cs="Arial"/>
          <w:bCs/>
          <w:color w:val="000000"/>
        </w:rPr>
        <w:t> </w:t>
      </w:r>
    </w:p>
    <w:p w:rsidR="00762FFA" w:rsidRPr="00F86380" w:rsidRDefault="00762FFA" w:rsidP="00F86380">
      <w:pPr>
        <w:autoSpaceDE w:val="0"/>
        <w:autoSpaceDN w:val="0"/>
        <w:adjustRightInd w:val="0"/>
        <w:spacing w:before="120" w:after="120" w:line="240" w:lineRule="auto"/>
        <w:ind w:left="2268"/>
        <w:jc w:val="both"/>
        <w:rPr>
          <w:rFonts w:ascii="Arial" w:hAnsi="Arial" w:cs="Arial"/>
          <w:bCs/>
          <w:color w:val="000000"/>
        </w:rPr>
      </w:pPr>
      <w:r w:rsidRPr="00F86380">
        <w:rPr>
          <w:rFonts w:ascii="Arial" w:hAnsi="Arial" w:cs="Arial"/>
          <w:bCs/>
          <w:color w:val="000000"/>
        </w:rPr>
        <w:t>PROCESSO CIVIL. EMBARGOS DECLARATÓRIOS COM EFEITOS INFRINGENTES. OMISSÃO VERIFICADA. EXISTÊNCIA, NOS AUTOS, DE PROVA DA DATA DO ESBULHO. POSSE NOVA. REQUISITOS PARA O DEFERIMENTO DA LIMINAR PREENCHIDOS. EMBARGOS ACOLHIDOS. DECISÃO REFORMADA COM EFEITOS MODIFICATIVOS.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 xml:space="preserve">1 </w:t>
      </w:r>
      <w:r w:rsidRPr="00F86380">
        <w:rPr>
          <w:rFonts w:ascii="Arial" w:hAnsi="Arial" w:cs="Arial"/>
          <w:bCs/>
          <w:color w:val="000000"/>
        </w:rPr>
        <w:softHyphen/>
        <w:t xml:space="preserve"> Consoante sumariamente anunciado, a </w:t>
      </w:r>
      <w:r w:rsidRPr="00F86380">
        <w:rPr>
          <w:rFonts w:ascii="Arial" w:hAnsi="Arial" w:cs="Arial"/>
          <w:bCs/>
          <w:color w:val="000000"/>
        </w:rPr>
        <w:lastRenderedPageBreak/>
        <w:t>decisão ora atacada negou provimento a agravo de instrumento sob o argumento que inexistiriam nestes autos, prova da data do esbulho, o que, ainda segundo a decisão, ensejaria a presunção de que este ocorreu em período superior àquele que autoriza o deferimento da medida liminar (um ano e um dia).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proofErr w:type="gramStart"/>
      <w:r w:rsidRPr="00F86380">
        <w:rPr>
          <w:rFonts w:ascii="Arial" w:hAnsi="Arial" w:cs="Arial"/>
          <w:bCs/>
          <w:color w:val="000000"/>
        </w:rPr>
        <w:t>2</w:t>
      </w:r>
      <w:proofErr w:type="gramEnd"/>
      <w:r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softHyphen/>
        <w:t xml:space="preserve"> Todavia, na oportunidade em que foi ofertada a contestação, em primeiro grau, os próprios invasores confessaram a data em que se deu o esbulho, a saber, março de 2007. (fl. 260 destes autos).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 xml:space="preserve">3 </w:t>
      </w:r>
      <w:r w:rsidRPr="00F86380">
        <w:rPr>
          <w:rFonts w:ascii="Arial" w:hAnsi="Arial" w:cs="Arial"/>
          <w:bCs/>
          <w:color w:val="000000"/>
        </w:rPr>
        <w:softHyphen/>
        <w:t xml:space="preserve"> Desta forma, tendo sido a </w:t>
      </w:r>
      <w:proofErr w:type="spellStart"/>
      <w:r w:rsidRPr="00F86380">
        <w:rPr>
          <w:rFonts w:ascii="Arial" w:hAnsi="Arial" w:cs="Arial"/>
          <w:bCs/>
          <w:color w:val="000000"/>
        </w:rPr>
        <w:t>actio</w:t>
      </w:r>
      <w:proofErr w:type="spellEnd"/>
      <w:r w:rsidRPr="00F86380">
        <w:rPr>
          <w:rFonts w:ascii="Arial" w:hAnsi="Arial" w:cs="Arial"/>
          <w:bCs/>
          <w:color w:val="000000"/>
        </w:rPr>
        <w:t xml:space="preserve"> originária proposta em setembro de 2007, menos de um ano e um dia da data do esbulho, resta preenchido o requisito elencado no inciso III, do art. 927 [CPC/2015, art. 561], CPC, c/c art. 924 do mesmo diploma. [CPC/2015, art. 558]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 xml:space="preserve">4 </w:t>
      </w:r>
      <w:r w:rsidRPr="00F86380">
        <w:rPr>
          <w:rFonts w:ascii="Arial" w:hAnsi="Arial" w:cs="Arial"/>
          <w:bCs/>
          <w:color w:val="000000"/>
        </w:rPr>
        <w:softHyphen/>
        <w:t xml:space="preserve"> Os demais requisitos, quais sejam, a posse da companhia promovente, o esbulho praticado pelos réus e a perda da posse, restam também preenchidos, e não foram sequer rechaçados pelos agravados, na contestação da ação originária. 5 </w:t>
      </w:r>
      <w:r w:rsidRPr="00F86380">
        <w:rPr>
          <w:rFonts w:ascii="Arial" w:hAnsi="Arial" w:cs="Arial"/>
          <w:bCs/>
          <w:color w:val="000000"/>
        </w:rPr>
        <w:softHyphen/>
        <w:t xml:space="preserve"> Em verdade, o indeferimento da medida liminar de reintegração teve como único fundamento o suposto não atendimento da condição temporal, o que, conforme já demonstrado, restou superado.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proofErr w:type="gramStart"/>
      <w:r w:rsidRPr="00F86380">
        <w:rPr>
          <w:rFonts w:ascii="Arial" w:hAnsi="Arial" w:cs="Arial"/>
          <w:bCs/>
          <w:color w:val="000000"/>
        </w:rPr>
        <w:t>6</w:t>
      </w:r>
      <w:proofErr w:type="gramEnd"/>
      <w:r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softHyphen/>
        <w:t xml:space="preserve"> Estando presentes os requisitos autorizadores da medida </w:t>
      </w:r>
      <w:proofErr w:type="spellStart"/>
      <w:r w:rsidRPr="00F86380">
        <w:rPr>
          <w:rFonts w:ascii="Arial" w:hAnsi="Arial" w:cs="Arial"/>
          <w:bCs/>
          <w:color w:val="000000"/>
        </w:rPr>
        <w:t>reintegratória</w:t>
      </w:r>
      <w:proofErr w:type="spellEnd"/>
      <w:r w:rsidRPr="00F86380">
        <w:rPr>
          <w:rFonts w:ascii="Arial" w:hAnsi="Arial" w:cs="Arial"/>
          <w:bCs/>
          <w:color w:val="000000"/>
        </w:rPr>
        <w:t xml:space="preserve"> liminar, o seu deferimento é medida que se impõe.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 xml:space="preserve">7 </w:t>
      </w:r>
      <w:r w:rsidRPr="00F86380">
        <w:rPr>
          <w:rFonts w:ascii="Arial" w:hAnsi="Arial" w:cs="Arial"/>
          <w:bCs/>
          <w:color w:val="000000"/>
        </w:rPr>
        <w:softHyphen/>
        <w:t xml:space="preserve"> Por fim, tenho que merece especial atenção a forma que deverá ser realizada a reintegração em comento. É que, </w:t>
      </w:r>
      <w:proofErr w:type="spellStart"/>
      <w:r w:rsidRPr="00F86380">
        <w:rPr>
          <w:rFonts w:ascii="Arial" w:hAnsi="Arial" w:cs="Arial"/>
          <w:bCs/>
          <w:color w:val="000000"/>
        </w:rPr>
        <w:t>tratando</w:t>
      </w:r>
      <w:r w:rsidRPr="00F86380">
        <w:rPr>
          <w:rFonts w:ascii="Arial" w:hAnsi="Arial" w:cs="Arial"/>
          <w:bCs/>
          <w:color w:val="000000"/>
        </w:rPr>
        <w:softHyphen/>
        <w:t>se</w:t>
      </w:r>
      <w:proofErr w:type="spellEnd"/>
      <w:r w:rsidRPr="00F86380">
        <w:rPr>
          <w:rFonts w:ascii="Arial" w:hAnsi="Arial" w:cs="Arial"/>
          <w:bCs/>
          <w:color w:val="000000"/>
        </w:rPr>
        <w:t xml:space="preserve"> de questão social,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 xml:space="preserve">cujos reflexos exorbitam a ordem patrimonial, a presente causa enseja o condicionamento da execução da medida </w:t>
      </w:r>
      <w:proofErr w:type="spellStart"/>
      <w:r w:rsidRPr="00F86380">
        <w:rPr>
          <w:rFonts w:ascii="Arial" w:hAnsi="Arial" w:cs="Arial"/>
          <w:bCs/>
          <w:color w:val="000000"/>
        </w:rPr>
        <w:t>reintegratória</w:t>
      </w:r>
      <w:proofErr w:type="spellEnd"/>
      <w:r w:rsidRPr="00F86380">
        <w:rPr>
          <w:rFonts w:ascii="Arial" w:hAnsi="Arial" w:cs="Arial"/>
          <w:bCs/>
          <w:color w:val="000000"/>
        </w:rPr>
        <w:t>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proofErr w:type="gramStart"/>
      <w:r w:rsidRPr="00F86380">
        <w:rPr>
          <w:rFonts w:ascii="Arial" w:hAnsi="Arial" w:cs="Arial"/>
          <w:bCs/>
          <w:color w:val="000000"/>
        </w:rPr>
        <w:t>8</w:t>
      </w:r>
      <w:proofErr w:type="gramEnd"/>
      <w:r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softHyphen/>
        <w:t xml:space="preserve"> A prudência e a razoabilidade nos orienta a garantir que a reintegração seja condicionada ao prévio remanejamento das famílias realmente necessitadas </w:t>
      </w:r>
      <w:r w:rsidRPr="00F86380">
        <w:rPr>
          <w:rFonts w:ascii="Arial" w:hAnsi="Arial" w:cs="Arial"/>
          <w:bCs/>
          <w:color w:val="000000"/>
        </w:rPr>
        <w:softHyphen/>
        <w:t xml:space="preserve"> condição a ser preliminarmente aferida por assistente social </w:t>
      </w:r>
      <w:r w:rsidRPr="00F86380">
        <w:rPr>
          <w:rFonts w:ascii="Arial" w:hAnsi="Arial" w:cs="Arial"/>
          <w:bCs/>
          <w:color w:val="000000"/>
        </w:rPr>
        <w:softHyphen/>
        <w:t xml:space="preserve"> para outro local a ser providenciado pela empresa promovente, ora embargante, junto ao Governo do Estado do Ceará, visto que este foi admitido como assistente.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 xml:space="preserve">9 </w:t>
      </w:r>
      <w:r w:rsidRPr="00F86380">
        <w:rPr>
          <w:rFonts w:ascii="Arial" w:hAnsi="Arial" w:cs="Arial"/>
          <w:bCs/>
          <w:color w:val="000000"/>
        </w:rPr>
        <w:softHyphen/>
        <w:t xml:space="preserve"> Ademais, deverá ser disponibilizado o transporte necessário para a desocupação da área e o remanejamento das famílias.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 xml:space="preserve">10 </w:t>
      </w:r>
      <w:r w:rsidRPr="00F86380">
        <w:rPr>
          <w:rFonts w:ascii="Arial" w:hAnsi="Arial" w:cs="Arial"/>
          <w:bCs/>
          <w:color w:val="000000"/>
        </w:rPr>
        <w:softHyphen/>
        <w:t xml:space="preserve"> Por fim, mas não menos importante, todo o processo de cumprimento desta decisão deve ser acompanhado por assistentes sociais e pelo necessário policiamento.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 xml:space="preserve">11 </w:t>
      </w:r>
      <w:r w:rsidRPr="00F86380">
        <w:rPr>
          <w:rFonts w:ascii="Arial" w:hAnsi="Arial" w:cs="Arial"/>
          <w:bCs/>
          <w:color w:val="000000"/>
        </w:rPr>
        <w:softHyphen/>
        <w:t xml:space="preserve"> Embargos conhecidos e acolhidos com efeitos infringentes. Decisão reformada para dar provimento ao agravo de instrumento interposto pela Companhia de Desenvolvimento do Ceará, deferindo a liminar </w:t>
      </w:r>
      <w:proofErr w:type="spellStart"/>
      <w:r w:rsidRPr="00F86380">
        <w:rPr>
          <w:rFonts w:ascii="Arial" w:hAnsi="Arial" w:cs="Arial"/>
          <w:bCs/>
          <w:color w:val="000000"/>
        </w:rPr>
        <w:t>reintegratória</w:t>
      </w:r>
      <w:proofErr w:type="spellEnd"/>
      <w:r w:rsidRPr="00F86380">
        <w:rPr>
          <w:rFonts w:ascii="Arial" w:hAnsi="Arial" w:cs="Arial"/>
          <w:bCs/>
          <w:color w:val="000000"/>
        </w:rPr>
        <w:t>. (</w:t>
      </w:r>
      <w:r w:rsidRPr="00F86380">
        <w:rPr>
          <w:rFonts w:ascii="Arial" w:hAnsi="Arial" w:cs="Arial"/>
          <w:bCs/>
          <w:color w:val="000000"/>
          <w:u w:val="single"/>
        </w:rPr>
        <w:t>TJCE</w:t>
      </w:r>
      <w:r w:rsidRPr="00F86380">
        <w:rPr>
          <w:rFonts w:ascii="Arial" w:hAnsi="Arial" w:cs="Arial"/>
          <w:bCs/>
          <w:color w:val="000000"/>
        </w:rPr>
        <w:t xml:space="preserve"> - </w:t>
      </w:r>
      <w:proofErr w:type="spellStart"/>
      <w:r w:rsidRPr="00F86380">
        <w:rPr>
          <w:rFonts w:ascii="Arial" w:hAnsi="Arial" w:cs="Arial"/>
          <w:bCs/>
          <w:color w:val="000000"/>
        </w:rPr>
        <w:t>EDcl</w:t>
      </w:r>
      <w:proofErr w:type="spellEnd"/>
      <w:r w:rsidRPr="00F86380">
        <w:rPr>
          <w:rFonts w:ascii="Arial" w:hAnsi="Arial" w:cs="Arial"/>
          <w:bCs/>
          <w:color w:val="000000"/>
        </w:rPr>
        <w:t xml:space="preserve"> 7780</w:t>
      </w:r>
      <w:r w:rsidRPr="00F86380">
        <w:rPr>
          <w:rFonts w:ascii="Arial" w:hAnsi="Arial" w:cs="Arial"/>
          <w:bCs/>
          <w:color w:val="000000"/>
        </w:rPr>
        <w:softHyphen/>
        <w:t>08.2007.8.06.0000/1; Quarta Câmara Cível; Rel. Des. Teodoro Silva Santos; DJCE 03/05/2012; Pág. 41)</w:t>
      </w:r>
    </w:p>
    <w:p w:rsidR="00F86380" w:rsidRPr="00F86380" w:rsidRDefault="00F86380" w:rsidP="00F86380">
      <w:pPr>
        <w:autoSpaceDE w:val="0"/>
        <w:autoSpaceDN w:val="0"/>
        <w:adjustRightInd w:val="0"/>
        <w:spacing w:before="120" w:after="120" w:line="240" w:lineRule="auto"/>
        <w:ind w:left="2268"/>
        <w:jc w:val="both"/>
        <w:rPr>
          <w:rFonts w:ascii="Arial" w:hAnsi="Arial" w:cs="Arial"/>
          <w:bCs/>
          <w:color w:val="000000"/>
        </w:rPr>
      </w:pPr>
    </w:p>
    <w:p w:rsidR="00762FFA" w:rsidRPr="00F86380" w:rsidRDefault="00762FFA" w:rsidP="00F86380">
      <w:pPr>
        <w:autoSpaceDE w:val="0"/>
        <w:autoSpaceDN w:val="0"/>
        <w:adjustRightInd w:val="0"/>
        <w:spacing w:before="120" w:after="120" w:line="240" w:lineRule="auto"/>
        <w:ind w:left="2268"/>
        <w:jc w:val="both"/>
        <w:rPr>
          <w:rFonts w:ascii="Arial" w:hAnsi="Arial" w:cs="Arial"/>
          <w:bCs/>
          <w:color w:val="000000"/>
        </w:rPr>
      </w:pPr>
      <w:r w:rsidRPr="00F86380">
        <w:rPr>
          <w:rFonts w:ascii="Arial" w:hAnsi="Arial" w:cs="Arial"/>
          <w:bCs/>
          <w:color w:val="000000"/>
        </w:rPr>
        <w:t>AGRAVO DE INSTRUMENTO. REINTEGRAÇÃO DE POSSE. INVASÃO DE LOTE RURAL. CLANDESTINIDADE. POSSE NOVA. JUSTIFICAÇÃO PRÉVIA REALIZADA. RETOMADA ORDENADA. MANUTENÇÃO.</w:t>
      </w:r>
      <w:r w:rsidR="00F86380" w:rsidRPr="00F86380">
        <w:rPr>
          <w:rFonts w:ascii="Arial" w:hAnsi="Arial" w:cs="Arial"/>
          <w:bCs/>
          <w:color w:val="000000"/>
        </w:rPr>
        <w:t xml:space="preserve"> </w:t>
      </w:r>
      <w:r w:rsidRPr="00F86380">
        <w:rPr>
          <w:rFonts w:ascii="Arial" w:hAnsi="Arial" w:cs="Arial"/>
          <w:bCs/>
          <w:color w:val="000000"/>
        </w:rPr>
        <w:t>Comprovada através de audiência de justificação prévia que a posse dos requeridos é nova e clandestina, é cabível a concessão de liminar para determinar a imediata desocupação da área e sua devolução à posseira primeva. (</w:t>
      </w:r>
      <w:r w:rsidRPr="00F86380">
        <w:rPr>
          <w:rFonts w:ascii="Arial" w:hAnsi="Arial" w:cs="Arial"/>
          <w:bCs/>
          <w:color w:val="000000"/>
          <w:u w:val="single"/>
        </w:rPr>
        <w:t>TJRO</w:t>
      </w:r>
      <w:r w:rsidRPr="00F86380">
        <w:rPr>
          <w:rFonts w:ascii="Arial" w:hAnsi="Arial" w:cs="Arial"/>
          <w:bCs/>
          <w:color w:val="000000"/>
        </w:rPr>
        <w:t xml:space="preserve"> - AI 0013340-42.2011.8.22.0000; Rel. </w:t>
      </w:r>
      <w:r w:rsidRPr="00F86380">
        <w:rPr>
          <w:rFonts w:ascii="Arial" w:hAnsi="Arial" w:cs="Arial"/>
          <w:bCs/>
          <w:color w:val="000000"/>
        </w:rPr>
        <w:lastRenderedPageBreak/>
        <w:t xml:space="preserve">Des. Moreira Chagas; </w:t>
      </w:r>
      <w:proofErr w:type="spellStart"/>
      <w:r w:rsidRPr="00F86380">
        <w:rPr>
          <w:rFonts w:ascii="Arial" w:hAnsi="Arial" w:cs="Arial"/>
          <w:bCs/>
          <w:color w:val="000000"/>
        </w:rPr>
        <w:t>Julg</w:t>
      </w:r>
      <w:proofErr w:type="spellEnd"/>
      <w:r w:rsidRPr="00F86380">
        <w:rPr>
          <w:rFonts w:ascii="Arial" w:hAnsi="Arial" w:cs="Arial"/>
          <w:bCs/>
          <w:color w:val="000000"/>
        </w:rPr>
        <w:t>. 27/03/2012; DJERO 03/04/2012; Pág. 74)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Pr="00762FFA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3.3. Preenchimento dos requisitos da petição inicial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 3.3.1. Prova da posse –  CPC/2015, art. 561, inc. I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A Autora é proprietária e possuidora do imóvel sito na Rua X, nº. 0000, Zona Rural, em Londrina (PR), objeto da matrícula de registro imobiliário nº. 3344. Referido bem fora adquirido em 1998, onde a Promovente pagara, em moeda corrente nacional, a quantia de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R$ 00.000,00 </w:t>
      </w:r>
      <w:proofErr w:type="gramStart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( </w:t>
      </w:r>
      <w:proofErr w:type="gramEnd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.</w:t>
      </w:r>
      <w:proofErr w:type="spellStart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x.x.x</w:t>
      </w:r>
      <w:proofErr w:type="spellEnd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. )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o que comprova-se pela cópia da escritura pública e certidão de registro de imóvel, devidamente registrado em nome da Autora.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01/02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Desde então a Autora mantém a posse e propriedade do referido bem, inclusive pagamentos os encargos tributários pertinentes ao mesmo.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03/09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Com o material fotográfico ora acostado, também </w:t>
      </w:r>
      <w:proofErr w:type="gramStart"/>
      <w:r w:rsidRPr="00762FFA">
        <w:rPr>
          <w:rFonts w:ascii="Arial" w:hAnsi="Arial" w:cs="Arial"/>
          <w:bCs/>
          <w:color w:val="000000"/>
          <w:sz w:val="24"/>
          <w:szCs w:val="24"/>
        </w:rPr>
        <w:t>demonstra-se</w:t>
      </w:r>
      <w:proofErr w:type="gram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que a Autora mantém atividade pecuária e de cultivo de caju.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10/17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Demonstra-se, mais, que no situado endereço funciona, há anos, uma fábrica de extração da castanha de caju.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docs. 18/22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Desta sorte, não há qualquer dúvida que a Autora seja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possuidora direta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do imóvel turbado.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3.3.2. Da </w:t>
      </w:r>
      <w:r w:rsidRPr="00762FF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turbação</w:t>
      </w: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 praticada pelo Réu – CPC/2015, art. 561, inc. II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O quadro fático em enfoque representa nítido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ato de turbação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não de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esbulho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. É que, segundo melhor doutrina, na turbação, em que pese o ato molestador, o possuidor conserva-se na posse do bem. Não é o caso, lógico.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lastRenderedPageBreak/>
        <w:t xml:space="preserve">maiores dificuldades verificamos que a Ré pratica ato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de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turbação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, 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como a propósito lecionam Cristiano Chaves de Farias e Nelson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Rosenvald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>: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226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“Se o esbulho há efetiva privação do exercício direto da posse sobre a coisa, muitas vezes pode o possuidor ser perturbado ou severamente incomodado no exercício da posse, sem que tal agressão seja intensa o suficiente para excluí-lo do poder físico sobre o bem. O interdito da manutenção de posse pretende exatamente interromper a prática dos atos de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turbação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impondo-se ao causador da moléstia a obrigação de abster-se da prática de atos contrários ao pleno exercício livre da posse do autor, garantindo a permanência do estado de fato.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2268"/>
        <w:contextualSpacing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Daí que a distinção entre a reintegração de posse e a manutenção de posse se insere na intensidade da agressão, pois a turbação é menor ofensiva que o esbulho, eis que não priva o possuidor do poder fático sobre o bem. “(FARIAS, Cristiano Chaves de; ROSENVALD, Nélson.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  <w:u w:val="single"/>
        </w:rPr>
        <w:t>Direitos Reais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. 6ª Ed. Rio de Janeiro: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Lumen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Juris, 2010. Pág. 130-131)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A propósito, reza a Legislação Substantiva Civil que: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CÓDIGO CIVIL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i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  <w:r w:rsidRPr="00762FFA">
        <w:rPr>
          <w:rFonts w:ascii="Arial" w:hAnsi="Arial" w:cs="Arial"/>
          <w:bCs/>
          <w:i/>
          <w:color w:val="000000"/>
          <w:sz w:val="24"/>
          <w:szCs w:val="24"/>
        </w:rPr>
        <w:t>Art. 1210 – O possuidor tem o direito a ser mantido na posse em caso de turbação, restituído no de esbulho e segurado de violência iminente, se tiver justo receio de ser molestado.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Nesse sentido: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CIVIL E PROCESSO CIVIL. APELAÇÃO CÍVEL. MANUTENÇÃO DE POSSE. IMÓVEL. DESFAZIMENTO DE ACORDO DE CONCESSÃO DE PASSAGEM. NOTIFICAÇÃO. TURBAÇÃO. CARACTERIZAÇÃO.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1.Não merece reparo sentença que concedeu a manutenção de posse de imóvel cuja turbação ficou caracterizada após notificação com prazo razoável para que os réus buscassem outro caminho para acessar o seu imóvel.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lastRenderedPageBreak/>
        <w:t>2.Patente a turbação da posse uma vez que não se trata de imóvel encravado e existe outra passagem de acesso dos apelantes para o seu prédio.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3.Demonstrada a presença dos requisitos insculpidos nos preceptivos dos artigos 927 [CPC/2015, art. 927] e 928 [CPC/2015, art. 562], do Código de Processo Civil, a medida possessória deve ser concedida initio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littis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4. Recurso desprovido.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TJDF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 -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Rec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2011.08.1.000592-8; Ac. 588.761; Terceira Turma Cível; Rel. Des. Mario-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Zam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Belmiro; DJDFTE 04/06/2012; Pág. 119)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DIREITO PROCESSUAL CIVIL E CIVIL. AÇÃO DE MANUTENÇÃO DE POSSE. ATO TURBATIVO. AMEAÇA DE RETIRADA DE MURO. REQUISITOS DOS ARTIGOS 927 E 928 DO CPC. COMPROVAÇÃO. APELAÇÃO CONHECIDA</w:t>
      </w:r>
      <w:proofErr w:type="gramStart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MAS</w:t>
      </w:r>
      <w:proofErr w:type="gram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IMPROVIDA.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gramStart"/>
      <w:r w:rsidRPr="00762FFA">
        <w:rPr>
          <w:rFonts w:ascii="Arial" w:hAnsi="Arial" w:cs="Arial"/>
          <w:bCs/>
          <w:color w:val="000000"/>
          <w:sz w:val="24"/>
          <w:szCs w:val="24"/>
        </w:rPr>
        <w:t>1</w:t>
      </w:r>
      <w:proofErr w:type="gram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Cs/>
          <w:color w:val="000000"/>
          <w:sz w:val="24"/>
          <w:szCs w:val="24"/>
        </w:rPr>
        <w:softHyphen/>
        <w:t xml:space="preserve"> A ação de manutenção de posse visa garantir o possuidor na posse ameaçada, em caso de turbação, e esta deve ser entendida como a injusta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molestação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ou ameaça de privação da posse sofrida por alguém que a vinha exercendo de forma mansa e pacífica.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2 Preceituam os artigos 927 [CPC/2015, art. 561] de 928 do CPC [CPC/2015, art. 562] que a ação de manutenção de posse se prende à prova da posse do autor, à turbação praticada pelo réu, à data em que esta ocorreu e à continuação da posse, embora turbada. Provados tais requisitos, é de rigor a concessão da medida.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3</w:t>
      </w:r>
      <w:r w:rsidRPr="00762FFA">
        <w:rPr>
          <w:rFonts w:ascii="Arial" w:hAnsi="Arial" w:cs="Arial"/>
          <w:bCs/>
          <w:color w:val="000000"/>
          <w:sz w:val="24"/>
          <w:szCs w:val="24"/>
        </w:rPr>
        <w:softHyphen/>
        <w:t xml:space="preserve"> No caso em deslinde, os elementos restaram comprovados através dos depoimentos das testemunhas dos litigantes, devendo ser mantidos na posse os apelados.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gramStart"/>
      <w:r w:rsidRPr="00762FFA">
        <w:rPr>
          <w:rFonts w:ascii="Arial" w:hAnsi="Arial" w:cs="Arial"/>
          <w:bCs/>
          <w:color w:val="000000"/>
          <w:sz w:val="24"/>
          <w:szCs w:val="24"/>
        </w:rPr>
        <w:t>4</w:t>
      </w:r>
      <w:proofErr w:type="gram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Cs/>
          <w:color w:val="000000"/>
          <w:sz w:val="24"/>
          <w:szCs w:val="24"/>
        </w:rPr>
        <w:softHyphen/>
        <w:t xml:space="preserve"> Apelação conhecida mas improvida.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TJCE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- AC 0047449</w:t>
      </w:r>
      <w:r w:rsidRPr="00762FFA">
        <w:rPr>
          <w:rFonts w:ascii="Arial" w:hAnsi="Arial" w:cs="Arial"/>
          <w:bCs/>
          <w:color w:val="000000"/>
          <w:sz w:val="24"/>
          <w:szCs w:val="24"/>
        </w:rPr>
        <w:softHyphen/>
        <w:t xml:space="preserve">02.2006.8.06.0001; Quinta Câmara Cível;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Relª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Desª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Sérgia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Maria Mendonça Miranda; DJCE 30/05/2012; Pág. 58)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AGRAVO DE INSTRUMENTO. AÇÃO DE MANUTENÇÃO DE POSSE. VIGÊNCIA DE LOCAÇÃO. LIMINAR DEFERIDA.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1701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A concessão da liminar em sede manutenção de posse está condicionada a razoável certeza acerca dos requisitos elencados pelo artigo 927, do CPC [CPC/2015, art. 561]. No caso, demonstrada a posse do agravado, a possível turbação ocorrida considerando a vigência do contrato de locação, de rigor a manutenção da medida deferida no juízo de origem. Agravo de instrumento desprovido.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TJRS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- AI 23046-</w:t>
      </w:r>
      <w:r w:rsidRPr="00762FFA">
        <w:rPr>
          <w:rFonts w:ascii="Arial" w:hAnsi="Arial" w:cs="Arial"/>
          <w:bCs/>
          <w:color w:val="000000"/>
          <w:sz w:val="24"/>
          <w:szCs w:val="24"/>
        </w:rPr>
        <w:lastRenderedPageBreak/>
        <w:t xml:space="preserve">91.2012.8.21.7000; Tramandaí; Décima Sexta Câmara Cível; Rel. Des. Marco Aurélio dos Santos Caminha;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Julg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>. 17/05/2012; DJERS 22/05/2012)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3.3.3. Da data da </w:t>
      </w:r>
      <w:r w:rsidRPr="00762FF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turbação</w:t>
      </w: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 – CPC, art. 561, inc. III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Temos que o Réu fora notificado na data de 11/22/3333 e, nesta notificação, frisou-se a data da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última turbação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ou seja, em 55/33/1111.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doc. 32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 Ademais, da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ata notarial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podemos extrair tais assertivas (CPC/2015, art. 384).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Quanto à data para efeito de turbação, sob a égide das lições de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Carlos Roberto Gonçalves, temos que: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“Quando reiterados os atos de turbação, sem que exista nexo de causalidade entre eles, a cada um pode corresponder uma ação, fluindo o prazo de ano e dia da data em que se verifica o respectivo ato. Examine-se exemplo ministrado por VICENTE RAÓ, citado por WASHINGTON DE BARROS MONTEIRO: ‘Um vizinho penetra na minha fazenda uma, duas, cinco vezes, a fim de extrair lenha. Cada um desses atos, isoladamente, ofende minha posse e contra cada um deles posso pedir manutenção. Suposto que decorrido haja o prazo de ano e dia a conta do primeiro ato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turbativo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>, nem por isso perderei o direito de recorrer ao interdito, para me opor às turbações subsequentes, verificadas dentro do prazo legal.</w:t>
      </w:r>
      <w:proofErr w:type="gramStart"/>
      <w:r w:rsidRPr="00762FFA">
        <w:rPr>
          <w:rFonts w:ascii="Arial" w:hAnsi="Arial" w:cs="Arial"/>
          <w:bCs/>
          <w:color w:val="000000"/>
          <w:sz w:val="24"/>
          <w:szCs w:val="24"/>
        </w:rPr>
        <w:t>”</w:t>
      </w:r>
      <w:r w:rsidR="00F8638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.</w:t>
      </w:r>
      <w:proofErr w:type="gram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“(GONÇALVES, Carlos Roberto.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  <w:u w:val="single"/>
        </w:rPr>
        <w:t>Direito Civil Brasileiro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. São Paulo: Saraiva, 2006, vol. 5. Pág. 136)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3.3.4. Da continuação da posse – CPC/2015, art. 561, inc. IV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Todo o relato fático e, mais, a prova documental carreada com esta peça vestibular, indicam que a Autora ainda detém a posse do imóvel turbado, todavia sendo molestada pelo Réu em face das invasões perpetradas.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3.4. Do pleito de medida liminar (CPC/2015, art. 562, </w:t>
      </w:r>
      <w:r w:rsidRPr="00762FFA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caput</w:t>
      </w:r>
      <w:r w:rsidRPr="00762FFA"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A Autora faz jus à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medida liminar de manutenção de posse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inaudita altera parte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. (CPC/2015, art. 562,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caput 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c/c 563)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A presente peça vestibular encontra-se devida instruída prova documental robusta, prova esta pertinente aos pressupostos estatuídos no art. 561 e seus incisos do Estatuto de Ritos.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Frise-se, mais, que na hipótese em vertente não que se falar em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periculum in mora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. É que, como consabido, a hipótese não reclama pleito com função acautelatória. Pelo contrário, aqui se debruça acerca do direito objetivo material.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Nesse diapasão,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provados a turbação e sua data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(força nova), há de ser concedida a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medida liminar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, independentemente da oitiva preliminar da parte promovida. Não há que se falar, portanto, em ato discricionário quanto à concessão desta medida judicial.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Nesse sentido: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2268"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AGRAVO DE INSTRUMENTO. MANUTENÇÃO DE POSSE. PEDIDO DE LIMINAR. DEMONSTRAÇÃO DOS REQUISITOS DO ARTIGO 927 DO CÓDIGO DE PROCESSO CIVIL. DEFERIMENTO DE LIMINAR QUE NÃO MERECE REPAROS. RECURSO DESPROVIDO.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240" w:lineRule="auto"/>
        <w:ind w:left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Presentes os requisitos do artigo 927 do CPC [CPC/2015, art. 561], eis que demonstrada a posse, a turbação, a data da turbação e a continuação da posse, embora turbada, correto o deferimento de liminar de manutenção da autora na posse do bem.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TJMT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 - AI 96540/2011; Juscimeira; Sexta Câmara Cível; Rel. Des. Juracy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Persiani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;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Julg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>. 23/05/2012; DJMT 30/05/2012; Pág. 70)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lastRenderedPageBreak/>
        <w:t xml:space="preserve">Destarte, pede a Autora seja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deferida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medida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 xml:space="preserve"> liminar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 de manutenção de posse no imóvel descrito nesta peça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proemial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, sem a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outiva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prévia da parte contrária, a ser cumprida por dois oficiais de justiça, facultando-lhes a utilização de força policial e ordem de arrombamento.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Sucessivamente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 (CPC/2015, art. 326), caso assim não entenda Vossa Excelência, o que se diz apenas por argumentar, de já a Autora destaca o rol de testemunhas, na eventual hipótese de audiência prévia de justificação. (CPC/2015,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art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562, 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segunda parte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left="241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1) Fulano das Quantas, casado, corretor de imóveis, residente e domiciliado na Rua </w:t>
      </w:r>
      <w:proofErr w:type="spellStart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Xista</w:t>
      </w:r>
      <w:proofErr w:type="spellEnd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, nº. 4455, em </w:t>
      </w:r>
      <w:r w:rsidR="00F86380">
        <w:rPr>
          <w:rFonts w:ascii="Arial" w:hAnsi="Arial" w:cs="Arial"/>
          <w:bCs/>
          <w:i/>
          <w:iCs/>
          <w:color w:val="000000"/>
          <w:sz w:val="24"/>
          <w:szCs w:val="24"/>
        </w:rPr>
        <w:t>Cidade/UF;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left="241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 2) Beltrano das Quantas, casado, corretor de imóveis, residente e domiciliado na Rua </w:t>
      </w:r>
      <w:proofErr w:type="spellStart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Xista</w:t>
      </w:r>
      <w:proofErr w:type="spellEnd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, nº. 4455, em </w:t>
      </w:r>
      <w:r w:rsidR="00F86380">
        <w:rPr>
          <w:rFonts w:ascii="Arial" w:hAnsi="Arial" w:cs="Arial"/>
          <w:bCs/>
          <w:i/>
          <w:iCs/>
          <w:color w:val="000000"/>
          <w:sz w:val="24"/>
          <w:szCs w:val="24"/>
        </w:rPr>
        <w:t>Cidade/UF;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Requer-se, ainda no importe do pleito sucessivo, a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 xml:space="preserve">citação do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Réu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para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comparecer à audiência de justificação (CPC/2015, art. 562,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segunda parte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 e a intimação das testemunhas também para esta finalidade processual e, ademais, provado o quadro fático ora narrado, de logo pleiteia-se o deferimento da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medida liminar de manutenção de posse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. (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CPC/2015, art. 563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)</w:t>
      </w:r>
    </w:p>
    <w:p w:rsidR="00F86380" w:rsidRDefault="00F86380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762FFA" w:rsidRPr="00F86380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86380">
        <w:rPr>
          <w:rFonts w:ascii="Arial" w:hAnsi="Arial" w:cs="Arial"/>
          <w:b/>
          <w:bCs/>
          <w:color w:val="000000"/>
          <w:sz w:val="24"/>
          <w:szCs w:val="24"/>
        </w:rPr>
        <w:t>3.5. Pedido cominatório de multa (CPC/2015, art. 555, parágrafo único, inc. I)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Com a finalidade de se evitar novas turbações do Réu, a Autora pede que seja imposta ao mesmo a pena cominatória de R$ 1.000,00 (mil reais) por cada nova turbação constatada.                                           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IV – DOS PEDIDOS E REQUERIMENTOS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lastRenderedPageBreak/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POSTO ISSO,</w:t>
      </w:r>
      <w:r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 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estando a inicial devidamente instruída, a Autora solicita que Vossa Excelência se digne de tomar as seguintes providências: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a) Requer, após cumprida a medida liminar em ensejo, </w:t>
      </w:r>
      <w:r w:rsidRPr="00762FFA">
        <w:rPr>
          <w:rFonts w:ascii="Arial" w:hAnsi="Arial" w:cs="Arial"/>
          <w:bCs/>
          <w:color w:val="000000"/>
          <w:sz w:val="24"/>
          <w:szCs w:val="24"/>
          <w:u w:val="single"/>
        </w:rPr>
        <w:t>a citação da Ré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 para, no prazo de cinco dias, querendo, contestar a ação (NCPC, art. 564);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 b) pede, mais, sejam julgados procedentes os pedidos formulados na presente ação, confirmando-se por definitivo a medida liminar antes conferida e </w:t>
      </w:r>
      <w:proofErr w:type="spellStart"/>
      <w:r w:rsidRPr="00762FFA">
        <w:rPr>
          <w:rFonts w:ascii="Arial" w:hAnsi="Arial" w:cs="Arial"/>
          <w:bCs/>
          <w:color w:val="000000"/>
          <w:sz w:val="24"/>
          <w:szCs w:val="24"/>
        </w:rPr>
        <w:t>manutenindo</w:t>
      </w:r>
      <w:proofErr w:type="spell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na posse a Autora, condenando a parte Ré a não fazer novas turbações, </w:t>
      </w:r>
      <w:proofErr w:type="gramStart"/>
      <w:r w:rsidRPr="00762FFA">
        <w:rPr>
          <w:rFonts w:ascii="Arial" w:hAnsi="Arial" w:cs="Arial"/>
          <w:bCs/>
          <w:color w:val="000000"/>
          <w:sz w:val="24"/>
          <w:szCs w:val="24"/>
        </w:rPr>
        <w:t>sob pena</w:t>
      </w:r>
      <w:proofErr w:type="gramEnd"/>
      <w:r w:rsidRPr="00762FFA">
        <w:rPr>
          <w:rFonts w:ascii="Arial" w:hAnsi="Arial" w:cs="Arial"/>
          <w:bCs/>
          <w:color w:val="000000"/>
          <w:sz w:val="24"/>
          <w:szCs w:val="24"/>
        </w:rPr>
        <w:t xml:space="preserve"> de pagamento de multa, por cada uma, no importe de R$ 1.000,00 (mil reais)I;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c) pede, outrossim, seja o Réu seja condenado ao pagamento de honorários advocatícios e custas processuais, esses arbitrados no percentual de 20%(vinte por cento) sobre o valor da causa (CPC/2015, art. 85, § 2º);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d) entende a Autora que o resultado da demanda prescinde de produção de provas, tendo em conta a prova documental colacionada aos autos. Todavia, ressalva a mesma que, caso esse não seja o entendimento de Vossa Excelência, protesta provar o alegado por todos os meios de prova em direitos admitidos, por mais especiais que sejam, sobretudo com a oitiva das testemunhas ora arroladas, perícia, depoimento pessoal do Promovido, o que desde já requer, sob pena de confissão.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 </w:t>
      </w:r>
    </w:p>
    <w:p w:rsidR="00762FFA" w:rsidRPr="00762FFA" w:rsidRDefault="00762FFA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762FFA">
        <w:rPr>
          <w:rFonts w:ascii="Arial" w:hAnsi="Arial" w:cs="Arial"/>
          <w:bCs/>
          <w:color w:val="000000"/>
          <w:sz w:val="24"/>
          <w:szCs w:val="24"/>
        </w:rPr>
        <w:t>Concede-se à causa o valor de 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R$ 00.000,00 </w:t>
      </w:r>
      <w:proofErr w:type="gramStart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( </w:t>
      </w:r>
      <w:proofErr w:type="gramEnd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.</w:t>
      </w:r>
      <w:proofErr w:type="spellStart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x.x.x</w:t>
      </w:r>
      <w:proofErr w:type="spellEnd"/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. ), </w:t>
      </w:r>
      <w:r w:rsidRPr="00762FFA">
        <w:rPr>
          <w:rFonts w:ascii="Arial" w:hAnsi="Arial" w:cs="Arial"/>
          <w:bCs/>
          <w:color w:val="000000"/>
          <w:sz w:val="24"/>
          <w:szCs w:val="24"/>
        </w:rPr>
        <w:t>correspondente ao valor do imóvel em questão (NCPC, art. 292, inc. III)</w:t>
      </w:r>
      <w:r w:rsidRPr="00762FFA">
        <w:rPr>
          <w:rFonts w:ascii="Arial" w:hAnsi="Arial" w:cs="Arial"/>
          <w:bCs/>
          <w:i/>
          <w:iCs/>
          <w:color w:val="000000"/>
          <w:sz w:val="24"/>
          <w:szCs w:val="24"/>
        </w:rPr>
        <w:t>.</w:t>
      </w:r>
    </w:p>
    <w:p w:rsidR="00141267" w:rsidRPr="00A2079C" w:rsidRDefault="00141267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eastAsia="ArialMT" w:hAnsi="Arial" w:cs="Arial"/>
          <w:iCs/>
          <w:color w:val="000000"/>
          <w:sz w:val="24"/>
          <w:szCs w:val="24"/>
        </w:rPr>
      </w:pPr>
    </w:p>
    <w:p w:rsidR="004B2F7F" w:rsidRPr="00A2079C" w:rsidRDefault="004A7BCE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eastAsia="ArialMT" w:hAnsi="Arial" w:cs="Arial"/>
          <w:iCs/>
          <w:color w:val="000000"/>
          <w:sz w:val="24"/>
          <w:szCs w:val="24"/>
        </w:rPr>
      </w:pPr>
      <w:r w:rsidRPr="00A2079C">
        <w:rPr>
          <w:rFonts w:ascii="Arial" w:eastAsia="ArialMT" w:hAnsi="Arial" w:cs="Arial"/>
          <w:iCs/>
          <w:color w:val="000000"/>
          <w:sz w:val="24"/>
          <w:szCs w:val="24"/>
        </w:rPr>
        <w:t xml:space="preserve">Termos em que </w:t>
      </w:r>
      <w:r w:rsidR="004B2F7F" w:rsidRPr="00A2079C">
        <w:rPr>
          <w:rFonts w:ascii="Arial" w:eastAsia="ArialMT" w:hAnsi="Arial" w:cs="Arial"/>
          <w:iCs/>
          <w:color w:val="000000"/>
          <w:sz w:val="24"/>
          <w:szCs w:val="24"/>
        </w:rPr>
        <w:t>pede deferimento</w:t>
      </w:r>
    </w:p>
    <w:p w:rsidR="004B2F7F" w:rsidRPr="00A2079C" w:rsidRDefault="004A7BCE" w:rsidP="00F86380">
      <w:pPr>
        <w:autoSpaceDE w:val="0"/>
        <w:autoSpaceDN w:val="0"/>
        <w:adjustRightInd w:val="0"/>
        <w:spacing w:before="120" w:after="120" w:line="360" w:lineRule="auto"/>
        <w:ind w:firstLine="2268"/>
        <w:jc w:val="both"/>
        <w:rPr>
          <w:rFonts w:ascii="Arial" w:eastAsia="ArialMT" w:hAnsi="Arial" w:cs="Arial"/>
          <w:iCs/>
          <w:color w:val="000000"/>
          <w:sz w:val="24"/>
          <w:szCs w:val="24"/>
        </w:rPr>
      </w:pPr>
      <w:r w:rsidRPr="00A2079C">
        <w:rPr>
          <w:rFonts w:ascii="Arial" w:eastAsia="ArialMT" w:hAnsi="Arial" w:cs="Arial"/>
          <w:iCs/>
          <w:color w:val="000000"/>
          <w:sz w:val="24"/>
          <w:szCs w:val="24"/>
        </w:rPr>
        <w:lastRenderedPageBreak/>
        <w:t xml:space="preserve">Local, </w:t>
      </w:r>
      <w:r w:rsidR="004B2F7F" w:rsidRPr="00A2079C">
        <w:rPr>
          <w:rFonts w:ascii="Arial" w:eastAsia="ArialMT" w:hAnsi="Arial" w:cs="Arial"/>
          <w:iCs/>
          <w:color w:val="000000"/>
          <w:sz w:val="24"/>
          <w:szCs w:val="24"/>
        </w:rPr>
        <w:t>Data</w:t>
      </w:r>
    </w:p>
    <w:p w:rsidR="00FF22C0" w:rsidRPr="00A2079C" w:rsidRDefault="004B2F7F" w:rsidP="00F86380">
      <w:pPr>
        <w:spacing w:before="120" w:after="120" w:line="360" w:lineRule="auto"/>
        <w:ind w:firstLine="2268"/>
        <w:jc w:val="both"/>
        <w:rPr>
          <w:rFonts w:ascii="Arial" w:hAnsi="Arial" w:cs="Arial"/>
          <w:sz w:val="24"/>
          <w:szCs w:val="24"/>
        </w:rPr>
      </w:pPr>
      <w:r w:rsidRPr="00A2079C">
        <w:rPr>
          <w:rFonts w:ascii="Arial" w:eastAsia="ArialMT" w:hAnsi="Arial" w:cs="Arial"/>
          <w:iCs/>
          <w:color w:val="000000"/>
          <w:sz w:val="24"/>
          <w:szCs w:val="24"/>
        </w:rPr>
        <w:t>Advogado (OAB)</w:t>
      </w:r>
    </w:p>
    <w:sectPr w:rsidR="00FF22C0" w:rsidRPr="00A2079C" w:rsidSect="001E19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7D5" w:rsidRDefault="006527D5" w:rsidP="00D62DC8">
      <w:pPr>
        <w:spacing w:after="0" w:line="240" w:lineRule="auto"/>
      </w:pPr>
      <w:r>
        <w:separator/>
      </w:r>
    </w:p>
  </w:endnote>
  <w:endnote w:type="continuationSeparator" w:id="0">
    <w:p w:rsidR="006527D5" w:rsidRDefault="006527D5" w:rsidP="00D62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DC8" w:rsidRDefault="00D62DC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DC8" w:rsidRDefault="00D62DC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DC8" w:rsidRDefault="00D62DC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7D5" w:rsidRDefault="006527D5" w:rsidP="00D62DC8">
      <w:pPr>
        <w:spacing w:after="0" w:line="240" w:lineRule="auto"/>
      </w:pPr>
      <w:r>
        <w:separator/>
      </w:r>
    </w:p>
  </w:footnote>
  <w:footnote w:type="continuationSeparator" w:id="0">
    <w:p w:rsidR="006527D5" w:rsidRDefault="006527D5" w:rsidP="00D62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DC8" w:rsidRDefault="00D62DC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286234" o:spid="_x0000_s2050" type="#_x0000_t75" style="position:absolute;margin-left:0;margin-top:0;width:424.75pt;height:89.65pt;z-index:-251657216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DC8" w:rsidRDefault="00D62DC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286235" o:spid="_x0000_s2051" type="#_x0000_t75" style="position:absolute;margin-left:0;margin-top:0;width:424.75pt;height:89.65pt;z-index:-251656192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DC8" w:rsidRDefault="00D62DC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286233" o:spid="_x0000_s2049" type="#_x0000_t75" style="position:absolute;margin-left:0;margin-top:0;width:424.75pt;height:89.65pt;z-index:-251658240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A7459"/>
    <w:multiLevelType w:val="hybridMultilevel"/>
    <w:tmpl w:val="2D00E562"/>
    <w:lvl w:ilvl="0" w:tplc="8EC24748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240" w:hanging="360"/>
      </w:pPr>
    </w:lvl>
    <w:lvl w:ilvl="2" w:tplc="0416001B">
      <w:start w:val="1"/>
      <w:numFmt w:val="lowerRoman"/>
      <w:lvlText w:val="%3."/>
      <w:lvlJc w:val="right"/>
      <w:pPr>
        <w:ind w:left="3960" w:hanging="180"/>
      </w:pPr>
    </w:lvl>
    <w:lvl w:ilvl="3" w:tplc="0416000F" w:tentative="1">
      <w:start w:val="1"/>
      <w:numFmt w:val="decimal"/>
      <w:lvlText w:val="%4."/>
      <w:lvlJc w:val="left"/>
      <w:pPr>
        <w:ind w:left="4680" w:hanging="360"/>
      </w:pPr>
    </w:lvl>
    <w:lvl w:ilvl="4" w:tplc="04160019" w:tentative="1">
      <w:start w:val="1"/>
      <w:numFmt w:val="lowerLetter"/>
      <w:lvlText w:val="%5."/>
      <w:lvlJc w:val="left"/>
      <w:pPr>
        <w:ind w:left="5400" w:hanging="360"/>
      </w:pPr>
    </w:lvl>
    <w:lvl w:ilvl="5" w:tplc="0416001B" w:tentative="1">
      <w:start w:val="1"/>
      <w:numFmt w:val="lowerRoman"/>
      <w:lvlText w:val="%6."/>
      <w:lvlJc w:val="right"/>
      <w:pPr>
        <w:ind w:left="6120" w:hanging="180"/>
      </w:pPr>
    </w:lvl>
    <w:lvl w:ilvl="6" w:tplc="0416000F" w:tentative="1">
      <w:start w:val="1"/>
      <w:numFmt w:val="decimal"/>
      <w:lvlText w:val="%7."/>
      <w:lvlJc w:val="left"/>
      <w:pPr>
        <w:ind w:left="6840" w:hanging="360"/>
      </w:pPr>
    </w:lvl>
    <w:lvl w:ilvl="7" w:tplc="04160019" w:tentative="1">
      <w:start w:val="1"/>
      <w:numFmt w:val="lowerLetter"/>
      <w:lvlText w:val="%8."/>
      <w:lvlJc w:val="left"/>
      <w:pPr>
        <w:ind w:left="7560" w:hanging="360"/>
      </w:pPr>
    </w:lvl>
    <w:lvl w:ilvl="8" w:tplc="0416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3A8"/>
    <w:rsid w:val="000323F4"/>
    <w:rsid w:val="00034375"/>
    <w:rsid w:val="00141267"/>
    <w:rsid w:val="001C69C6"/>
    <w:rsid w:val="001E193F"/>
    <w:rsid w:val="001E4499"/>
    <w:rsid w:val="00237CEC"/>
    <w:rsid w:val="002B4388"/>
    <w:rsid w:val="002C43A8"/>
    <w:rsid w:val="00331502"/>
    <w:rsid w:val="00423A23"/>
    <w:rsid w:val="004A7BCE"/>
    <w:rsid w:val="004B2F7F"/>
    <w:rsid w:val="00567A8E"/>
    <w:rsid w:val="00607AE8"/>
    <w:rsid w:val="00621702"/>
    <w:rsid w:val="0062240E"/>
    <w:rsid w:val="00650D70"/>
    <w:rsid w:val="006527D5"/>
    <w:rsid w:val="006A2EE4"/>
    <w:rsid w:val="006F7387"/>
    <w:rsid w:val="00762FFA"/>
    <w:rsid w:val="007B717D"/>
    <w:rsid w:val="007E716B"/>
    <w:rsid w:val="00811EC5"/>
    <w:rsid w:val="00832EC0"/>
    <w:rsid w:val="00923A59"/>
    <w:rsid w:val="00956D07"/>
    <w:rsid w:val="00A2079C"/>
    <w:rsid w:val="00A44A38"/>
    <w:rsid w:val="00B87463"/>
    <w:rsid w:val="00B937C4"/>
    <w:rsid w:val="00B95128"/>
    <w:rsid w:val="00D42EA1"/>
    <w:rsid w:val="00D62DC8"/>
    <w:rsid w:val="00DA1C90"/>
    <w:rsid w:val="00DD746D"/>
    <w:rsid w:val="00EA5492"/>
    <w:rsid w:val="00EE000E"/>
    <w:rsid w:val="00F4688F"/>
    <w:rsid w:val="00F56896"/>
    <w:rsid w:val="00F86380"/>
    <w:rsid w:val="00FD6B4C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93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000E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11EC5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23A2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56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6D0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D62D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2DC8"/>
  </w:style>
  <w:style w:type="paragraph" w:styleId="Rodap">
    <w:name w:val="footer"/>
    <w:basedOn w:val="Normal"/>
    <w:link w:val="RodapChar"/>
    <w:uiPriority w:val="99"/>
    <w:unhideWhenUsed/>
    <w:rsid w:val="00D62D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2D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7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5615">
          <w:marLeft w:val="709"/>
          <w:marRight w:val="765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993142016">
          <w:marLeft w:val="70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57439514">
          <w:marLeft w:val="709"/>
          <w:marRight w:val="765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137067160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46724109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2034530516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58699952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676423192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547643740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46758918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09124234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558280802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754325916">
          <w:marLeft w:val="70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222260710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751394126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645819749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902012579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793480162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409425857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08169493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140680147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14696771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345447347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819032917">
          <w:marLeft w:val="709"/>
          <w:marRight w:val="765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732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31869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292566823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2045521155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930625672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737824863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763909281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548617311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431973356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870530974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785801786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</w:divsChild>
    </w:div>
    <w:div w:id="12197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802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490364146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658458888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652949605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669212166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20252645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942882351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931932016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91959201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22313740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</w:divsChild>
    </w:div>
    <w:div w:id="12355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5529">
          <w:marLeft w:val="709"/>
          <w:marRight w:val="765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449395522">
          <w:marLeft w:val="70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1357661226">
          <w:marLeft w:val="709"/>
          <w:marRight w:val="765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321349345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58633152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474224256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034815265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2019496873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116824687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37862399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496992292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605266578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113860320">
          <w:marLeft w:val="70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867373860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678997383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657273674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683165918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23274445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166937544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941493478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53521624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393695578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410153979">
          <w:marLeft w:val="0"/>
          <w:marRight w:val="708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381973025">
          <w:marLeft w:val="709"/>
          <w:marRight w:val="765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581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64415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558785350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480929519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82840583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2023485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753744551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561330628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797070718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370648055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09840261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</w:divsChild>
    </w:div>
    <w:div w:id="1689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8525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2088113474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8935457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791970157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154688278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155682597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66553571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116720814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  <w:div w:id="2102217301">
          <w:marLeft w:val="708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143814391">
          <w:marLeft w:val="708"/>
          <w:marRight w:val="0"/>
          <w:marTop w:val="0"/>
          <w:marBottom w:val="0"/>
          <w:divBdr>
            <w:top w:val="none" w:sz="0" w:space="0" w:color="auto"/>
            <w:left w:val="single" w:sz="8" w:space="4" w:color="auto"/>
            <w:bottom w:val="none" w:sz="0" w:space="0" w:color="auto"/>
            <w:right w:val="none" w:sz="0" w:space="0" w:color="auto"/>
          </w:divBdr>
        </w:div>
      </w:divsChild>
    </w:div>
    <w:div w:id="2059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7118-291C-486A-A92F-ACAA282A5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2839</Words>
  <Characters>15334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Usuario</cp:lastModifiedBy>
  <cp:revision>2</cp:revision>
  <dcterms:created xsi:type="dcterms:W3CDTF">2016-05-30T02:17:00Z</dcterms:created>
  <dcterms:modified xsi:type="dcterms:W3CDTF">2020-12-04T19:27:00Z</dcterms:modified>
</cp:coreProperties>
</file>